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HAnsi" w:hAnsiTheme="minorHAnsi" w:eastAsiaTheme="minorEastAsia" w:cstheme="minorBidi"/>
          <w:b/>
          <w:bCs/>
          <w:color w:val="000000"/>
          <w:kern w:val="44"/>
          <w:sz w:val="32"/>
          <w:szCs w:val="44"/>
          <w:highlight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000000"/>
          <w:kern w:val="44"/>
          <w:sz w:val="32"/>
          <w:szCs w:val="44"/>
          <w:highlight w:val="none"/>
          <w:lang w:val="en-US" w:eastAsia="zh-CN" w:bidi="ar-SA"/>
        </w:rPr>
        <w:t>附件：</w:t>
      </w:r>
    </w:p>
    <w:p>
      <w:pPr>
        <w:pStyle w:val="7"/>
        <w:rPr>
          <w:color w:val="000000"/>
          <w:highlight w:val="none"/>
        </w:rPr>
      </w:pPr>
      <w:bookmarkStart w:id="0" w:name="_Toc12616"/>
      <w:bookmarkStart w:id="1" w:name="_Toc490233120"/>
      <w:r>
        <w:rPr>
          <w:rFonts w:hint="eastAsia"/>
          <w:color w:val="000000"/>
          <w:highlight w:val="none"/>
        </w:rPr>
        <w:t>货物需求及技术要求</w:t>
      </w:r>
      <w:bookmarkEnd w:id="0"/>
      <w:bookmarkEnd w:id="1"/>
    </w:p>
    <w:p>
      <w:pPr>
        <w:widowControl/>
        <w:numPr>
          <w:ilvl w:val="0"/>
          <w:numId w:val="0"/>
        </w:numPr>
        <w:spacing w:line="460" w:lineRule="exact"/>
        <w:ind w:firstLine="422" w:firstLineChars="200"/>
        <w:rPr>
          <w:rFonts w:hint="eastAsia" w:ascii="宋体" w:hAnsi="宋体" w:cs="宋体"/>
          <w:b/>
          <w:szCs w:val="21"/>
          <w:highlight w:val="none"/>
        </w:rPr>
      </w:pPr>
      <w:r>
        <w:rPr>
          <w:rFonts w:hint="eastAsia" w:ascii="宋体" w:hAnsi="宋体" w:cs="宋体"/>
          <w:b/>
          <w:szCs w:val="21"/>
          <w:highlight w:val="none"/>
        </w:rPr>
        <w:t>一、采购要求</w:t>
      </w:r>
      <w:bookmarkStart w:id="23" w:name="_GoBack"/>
      <w:bookmarkEnd w:id="23"/>
    </w:p>
    <w:p>
      <w:pPr>
        <w:widowControl/>
        <w:spacing w:line="460" w:lineRule="exact"/>
        <w:ind w:firstLine="420" w:firstLineChars="200"/>
        <w:rPr>
          <w:rFonts w:hint="eastAsia" w:ascii="宋体" w:hAnsi="宋体" w:cs="宋体"/>
          <w:kern w:val="0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Cs w:val="21"/>
          <w:highlight w:val="none"/>
          <w:lang w:val="en-US" w:eastAsia="zh-CN"/>
        </w:rPr>
        <w:t>1.为保证安庆市第一人民医院龙山院区信息中心机房安全，现采购四罐灌装七氟丙烷气体，每罐需灌装七氟丙烷气体122公升，共488公升。</w:t>
      </w:r>
    </w:p>
    <w:p>
      <w:pPr>
        <w:widowControl/>
        <w:spacing w:line="460" w:lineRule="exact"/>
        <w:ind w:firstLine="420" w:firstLineChars="200"/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  <w:t>2.七氟丙烷灭火系统应采用氮气增压输送。氮气的含水量不应大于0.006%。</w:t>
      </w:r>
    </w:p>
    <w:p>
      <w:pPr>
        <w:widowControl/>
        <w:spacing w:line="460" w:lineRule="exact"/>
        <w:ind w:firstLine="420" w:firstLineChars="200"/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  <w:t>储存容器的增压压力宜分为三级，并应符合下列规定：</w:t>
      </w:r>
    </w:p>
    <w:p>
      <w:pPr>
        <w:widowControl/>
        <w:numPr>
          <w:ilvl w:val="0"/>
          <w:numId w:val="1"/>
        </w:numPr>
        <w:spacing w:line="460" w:lineRule="exact"/>
        <w:ind w:firstLine="420" w:firstLineChars="200"/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  <w:t>一级：2.5+0.1MPa（表压）；</w:t>
      </w:r>
    </w:p>
    <w:p>
      <w:pPr>
        <w:widowControl/>
        <w:numPr>
          <w:ilvl w:val="0"/>
          <w:numId w:val="1"/>
        </w:numPr>
        <w:spacing w:line="460" w:lineRule="exact"/>
        <w:ind w:firstLine="420" w:firstLineChars="200"/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  <w:t>二级：4.2+0.1MPa（表压）；</w:t>
      </w:r>
    </w:p>
    <w:p>
      <w:pPr>
        <w:widowControl/>
        <w:numPr>
          <w:ilvl w:val="0"/>
          <w:numId w:val="1"/>
        </w:numPr>
        <w:spacing w:line="460" w:lineRule="exact"/>
        <w:ind w:firstLine="420" w:firstLineChars="200"/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  <w:t>三级：5.6+0.1MPa（表压）。</w:t>
      </w:r>
    </w:p>
    <w:p>
      <w:pPr>
        <w:widowControl/>
        <w:numPr>
          <w:ilvl w:val="0"/>
          <w:numId w:val="0"/>
        </w:numPr>
        <w:spacing w:line="460" w:lineRule="exact"/>
        <w:ind w:firstLine="420" w:firstLineChars="200"/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  <w:t>3.七氟丙烷单位容积的充装量应符合下列规定：</w:t>
      </w:r>
    </w:p>
    <w:p>
      <w:pPr>
        <w:widowControl/>
        <w:numPr>
          <w:ilvl w:val="0"/>
          <w:numId w:val="0"/>
        </w:numPr>
        <w:spacing w:line="460" w:lineRule="exact"/>
        <w:ind w:firstLine="420" w:firstLineChars="200"/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  <w:t>（1）一级增压储存容器，不应大于1120kg/m³；</w:t>
      </w:r>
    </w:p>
    <w:p>
      <w:pPr>
        <w:widowControl/>
        <w:numPr>
          <w:ilvl w:val="0"/>
          <w:numId w:val="0"/>
        </w:numPr>
        <w:spacing w:line="460" w:lineRule="exact"/>
        <w:ind w:firstLine="420" w:firstLineChars="200"/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  <w:t>（2）二级增压焊接结构储存容器，不应大于950kg/m³；</w:t>
      </w:r>
    </w:p>
    <w:p>
      <w:pPr>
        <w:widowControl/>
        <w:numPr>
          <w:ilvl w:val="0"/>
          <w:numId w:val="0"/>
        </w:numPr>
        <w:spacing w:line="460" w:lineRule="exact"/>
        <w:ind w:firstLine="420" w:firstLineChars="200"/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  <w:t>（3）二级增压无缝结构储存容器，不应大于1120kg/m³；</w:t>
      </w:r>
    </w:p>
    <w:p>
      <w:pPr>
        <w:widowControl/>
        <w:numPr>
          <w:ilvl w:val="0"/>
          <w:numId w:val="0"/>
        </w:numPr>
        <w:spacing w:line="460" w:lineRule="exact"/>
        <w:ind w:firstLine="420" w:firstLineChars="200"/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  <w:t>（4）三级增压储存容器，不应大于1080kg/m³。</w:t>
      </w:r>
    </w:p>
    <w:p>
      <w:pPr>
        <w:widowControl/>
        <w:numPr>
          <w:ilvl w:val="0"/>
          <w:numId w:val="0"/>
        </w:numPr>
        <w:spacing w:line="460" w:lineRule="exact"/>
        <w:ind w:firstLine="420" w:firstLineChars="200"/>
        <w:rPr>
          <w:rFonts w:hint="default" w:ascii="宋体" w:hAnsi="宋体" w:cs="宋体"/>
          <w:snapToGrid w:val="0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  <w:t>4.管网的管道内容积，不应大于流经该管网的</w:t>
      </w:r>
      <w:bookmarkStart w:id="2" w:name="_Toc101843125"/>
      <w:bookmarkStart w:id="3" w:name="_Toc98579069"/>
      <w:bookmarkStart w:id="4" w:name="_Toc273520768"/>
      <w:bookmarkStart w:id="5" w:name="_Toc175644394"/>
      <w:bookmarkStart w:id="6" w:name="_Toc50276204"/>
      <w:bookmarkStart w:id="7" w:name="_Toc46308531"/>
      <w:bookmarkStart w:id="8" w:name="_Toc98580293"/>
      <w:bookmarkStart w:id="9" w:name="_Toc50276165"/>
      <w:bookmarkStart w:id="10" w:name="_Toc98035089"/>
      <w:bookmarkStart w:id="11" w:name="_Toc41884706"/>
      <w:bookmarkStart w:id="12" w:name="_Toc41723936"/>
      <w:bookmarkStart w:id="13" w:name="_Toc46308687"/>
      <w:bookmarkStart w:id="14" w:name="_Toc98579011"/>
      <w:bookmarkStart w:id="15" w:name="_Toc42394517"/>
      <w:bookmarkStart w:id="16" w:name="_Toc42394673"/>
      <w:bookmarkStart w:id="17" w:name="_Toc101951263"/>
      <w:bookmarkStart w:id="18" w:name="_Toc101771372"/>
      <w:bookmarkStart w:id="19" w:name="_Toc42313172"/>
      <w:bookmarkStart w:id="20" w:name="_Toc98579610"/>
      <w:bookmarkStart w:id="21" w:name="_Toc101775125"/>
      <w:bookmarkStart w:id="22" w:name="_Toc272497418"/>
      <w:r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  <w:t>七氟丙烷储存量体积的80%。</w:t>
      </w:r>
    </w:p>
    <w:p>
      <w:pPr>
        <w:widowControl/>
        <w:numPr>
          <w:ilvl w:val="0"/>
          <w:numId w:val="0"/>
        </w:numPr>
        <w:spacing w:line="460" w:lineRule="exact"/>
        <w:ind w:firstLine="422" w:firstLineChars="200"/>
        <w:rPr>
          <w:rFonts w:ascii="宋体" w:hAnsi="宋体" w:cs="宋体"/>
          <w:b/>
          <w:szCs w:val="21"/>
          <w:highlight w:val="none"/>
        </w:rPr>
      </w:pPr>
      <w:r>
        <w:rPr>
          <w:rFonts w:hint="eastAsia" w:ascii="宋体" w:hAnsi="宋体" w:cs="宋体"/>
          <w:b/>
          <w:szCs w:val="21"/>
          <w:highlight w:val="none"/>
          <w:lang w:val="en-US" w:eastAsia="zh-CN"/>
        </w:rPr>
        <w:t>二</w:t>
      </w:r>
      <w:r>
        <w:rPr>
          <w:rFonts w:hint="eastAsia" w:ascii="宋体" w:hAnsi="宋体" w:cs="宋体"/>
          <w:b/>
          <w:szCs w:val="21"/>
          <w:highlight w:val="none"/>
        </w:rPr>
        <w:t>、其他要求</w:t>
      </w:r>
    </w:p>
    <w:p>
      <w:pPr>
        <w:spacing w:line="460" w:lineRule="exact"/>
        <w:ind w:firstLine="422" w:firstLineChars="200"/>
        <w:rPr>
          <w:rFonts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b/>
          <w:bCs/>
          <w:snapToGrid w:val="0"/>
          <w:szCs w:val="21"/>
          <w:highlight w:val="none"/>
          <w:lang w:val="en-US" w:eastAsia="zh-CN"/>
        </w:rPr>
        <w:t>1</w:t>
      </w:r>
      <w:r>
        <w:rPr>
          <w:rFonts w:hint="eastAsia" w:ascii="宋体" w:hAnsi="宋体" w:cs="宋体"/>
          <w:b/>
          <w:bCs/>
          <w:snapToGrid w:val="0"/>
          <w:szCs w:val="21"/>
          <w:highlight w:val="none"/>
        </w:rPr>
        <w:t>.货物质量要求：</w:t>
      </w:r>
      <w:r>
        <w:rPr>
          <w:rFonts w:hint="eastAsia" w:ascii="宋体" w:hAnsi="宋体" w:cs="宋体"/>
          <w:snapToGrid w:val="0"/>
          <w:szCs w:val="21"/>
          <w:highlight w:val="none"/>
        </w:rPr>
        <w:t>七氟丙烷充装按《气体灭火系统设计规范》GB50370-2005</w:t>
      </w:r>
      <w:r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  <w:t xml:space="preserve"> 等</w:t>
      </w:r>
      <w:r>
        <w:rPr>
          <w:rFonts w:hint="eastAsia" w:ascii="宋体" w:hAnsi="宋体" w:cs="宋体"/>
          <w:snapToGrid w:val="0"/>
          <w:szCs w:val="21"/>
          <w:highlight w:val="none"/>
        </w:rPr>
        <w:t>相关法律、法规规定</w:t>
      </w:r>
      <w:r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  <w:t>及招标人需求执行</w:t>
      </w:r>
      <w:r>
        <w:rPr>
          <w:rFonts w:hint="eastAsia" w:ascii="宋体" w:hAnsi="宋体" w:cs="宋体"/>
          <w:snapToGrid w:val="0"/>
          <w:szCs w:val="21"/>
          <w:highlight w:val="none"/>
        </w:rPr>
        <w:t>。</w:t>
      </w:r>
    </w:p>
    <w:p>
      <w:pPr>
        <w:autoSpaceDE w:val="0"/>
        <w:autoSpaceDN w:val="0"/>
        <w:spacing w:line="460" w:lineRule="exact"/>
        <w:ind w:firstLine="420"/>
        <w:rPr>
          <w:rFonts w:ascii="宋体" w:hAnsi="宋体" w:cs="宋体"/>
          <w:b/>
          <w:bCs/>
          <w:snapToGrid w:val="0"/>
          <w:szCs w:val="21"/>
          <w:highlight w:val="none"/>
        </w:rPr>
      </w:pPr>
      <w:r>
        <w:rPr>
          <w:rFonts w:hint="eastAsia" w:ascii="宋体" w:hAnsi="宋体" w:cs="宋体"/>
          <w:b/>
          <w:bCs/>
          <w:snapToGrid w:val="0"/>
          <w:szCs w:val="21"/>
          <w:highlight w:val="none"/>
          <w:lang w:val="en-US" w:eastAsia="zh-CN"/>
        </w:rPr>
        <w:t>2</w:t>
      </w:r>
      <w:r>
        <w:rPr>
          <w:rFonts w:hint="eastAsia" w:ascii="宋体" w:hAnsi="宋体" w:cs="宋体"/>
          <w:b/>
          <w:bCs/>
          <w:snapToGrid w:val="0"/>
          <w:szCs w:val="21"/>
          <w:highlight w:val="none"/>
        </w:rPr>
        <w:t>.质保期：</w:t>
      </w:r>
      <w:r>
        <w:rPr>
          <w:rFonts w:hint="eastAsia" w:ascii="宋体" w:hAnsi="宋体" w:cs="宋体"/>
          <w:snapToGrid w:val="0"/>
          <w:szCs w:val="21"/>
          <w:highlight w:val="none"/>
        </w:rPr>
        <w:t>质保期为</w:t>
      </w:r>
      <w:r>
        <w:rPr>
          <w:rFonts w:hint="eastAsia" w:ascii="宋体" w:hAnsi="宋体" w:cs="宋体"/>
          <w:snapToGrid w:val="0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宋体"/>
          <w:snapToGrid w:val="0"/>
          <w:szCs w:val="21"/>
          <w:highlight w:val="none"/>
          <w:u w:val="single"/>
          <w:lang w:val="en-US" w:eastAsia="zh-CN"/>
        </w:rPr>
        <w:t>2</w:t>
      </w:r>
      <w:r>
        <w:rPr>
          <w:rFonts w:hint="eastAsia" w:ascii="宋体" w:hAnsi="宋体" w:cs="宋体"/>
          <w:snapToGrid w:val="0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宋体"/>
          <w:snapToGrid w:val="0"/>
          <w:szCs w:val="21"/>
          <w:highlight w:val="none"/>
        </w:rPr>
        <w:t>年，自项目验收合格之日起计算。</w:t>
      </w:r>
    </w:p>
    <w:p>
      <w:pPr>
        <w:snapToGrid w:val="0"/>
        <w:spacing w:line="460" w:lineRule="exact"/>
        <w:ind w:firstLine="422" w:firstLineChars="200"/>
        <w:rPr>
          <w:rFonts w:hint="eastAsia" w:ascii="宋体" w:hAnsi="宋体" w:cs="宋体"/>
          <w:snapToGrid w:val="0"/>
          <w:szCs w:val="21"/>
          <w:highlight w:val="none"/>
          <w:lang w:eastAsia="zh-CN"/>
        </w:rPr>
      </w:pPr>
      <w:r>
        <w:rPr>
          <w:rFonts w:hint="eastAsia" w:ascii="宋体" w:hAnsi="宋体" w:cs="宋体"/>
          <w:b/>
          <w:bCs/>
          <w:snapToGrid w:val="0"/>
          <w:szCs w:val="21"/>
          <w:highlight w:val="none"/>
          <w:lang w:val="en-US" w:eastAsia="zh-CN"/>
        </w:rPr>
        <w:t>3</w:t>
      </w:r>
      <w:r>
        <w:rPr>
          <w:rFonts w:hint="eastAsia" w:ascii="宋体" w:hAnsi="宋体" w:cs="宋体"/>
          <w:b/>
          <w:bCs/>
          <w:snapToGrid w:val="0"/>
          <w:szCs w:val="21"/>
          <w:highlight w:val="none"/>
        </w:rPr>
        <w:t>.售后服务：</w:t>
      </w:r>
      <w:r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  <w:t>投标人拟派的</w:t>
      </w:r>
      <w:r>
        <w:rPr>
          <w:rFonts w:hint="eastAsia" w:ascii="宋体" w:hAnsi="宋体" w:cs="宋体"/>
          <w:snapToGrid w:val="0"/>
          <w:szCs w:val="21"/>
          <w:highlight w:val="none"/>
        </w:rPr>
        <w:t>技术服务人员</w:t>
      </w:r>
      <w:r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  <w:t>需</w:t>
      </w:r>
      <w:r>
        <w:rPr>
          <w:rFonts w:hint="eastAsia" w:ascii="宋体" w:hAnsi="宋体" w:cs="宋体"/>
          <w:snapToGrid w:val="0"/>
          <w:szCs w:val="21"/>
          <w:highlight w:val="none"/>
        </w:rPr>
        <w:t>对</w:t>
      </w:r>
      <w:r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  <w:t>招标人</w:t>
      </w:r>
      <w:r>
        <w:rPr>
          <w:rFonts w:hint="eastAsia" w:ascii="宋体" w:hAnsi="宋体" w:cs="宋体"/>
          <w:snapToGrid w:val="0"/>
          <w:szCs w:val="21"/>
          <w:highlight w:val="none"/>
        </w:rPr>
        <w:t>进行全面细致的培训</w:t>
      </w:r>
      <w:r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  <w:t>服务</w:t>
      </w:r>
      <w:r>
        <w:rPr>
          <w:rFonts w:hint="eastAsia" w:ascii="宋体" w:hAnsi="宋体" w:cs="宋体"/>
          <w:snapToGrid w:val="0"/>
          <w:szCs w:val="21"/>
          <w:highlight w:val="none"/>
        </w:rPr>
        <w:t>，能够及时解决</w:t>
      </w:r>
      <w:r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  <w:t>招标人</w:t>
      </w:r>
      <w:r>
        <w:rPr>
          <w:rFonts w:hint="eastAsia" w:ascii="宋体" w:hAnsi="宋体" w:cs="宋体"/>
          <w:snapToGrid w:val="0"/>
          <w:szCs w:val="21"/>
          <w:highlight w:val="none"/>
        </w:rPr>
        <w:t>在使用中遇到的问题。在质保期内发生的质量问题，由投标人负责免费解决（因人为因素造成的质量问题除外）</w:t>
      </w:r>
      <w:r>
        <w:rPr>
          <w:rFonts w:hint="eastAsia" w:ascii="宋体" w:hAnsi="宋体" w:cs="宋体"/>
          <w:snapToGrid w:val="0"/>
          <w:szCs w:val="21"/>
          <w:highlight w:val="none"/>
          <w:lang w:eastAsia="zh-CN"/>
        </w:rPr>
        <w:t>。</w:t>
      </w:r>
    </w:p>
    <w:p>
      <w:pPr>
        <w:snapToGrid w:val="0"/>
        <w:spacing w:line="460" w:lineRule="exact"/>
        <w:ind w:firstLine="422" w:firstLineChars="200"/>
        <w:rPr>
          <w:rFonts w:ascii="宋体" w:hAnsi="宋体" w:cs="宋体"/>
          <w:snapToGrid w:val="0"/>
          <w:szCs w:val="21"/>
          <w:highlight w:val="none"/>
        </w:rPr>
      </w:pPr>
      <w:r>
        <w:rPr>
          <w:rFonts w:hint="eastAsia" w:ascii="宋体" w:hAnsi="宋体" w:cs="宋体"/>
          <w:b/>
          <w:bCs/>
          <w:snapToGrid w:val="0"/>
          <w:szCs w:val="21"/>
          <w:highlight w:val="none"/>
          <w:lang w:val="en-US" w:eastAsia="zh-CN"/>
        </w:rPr>
        <w:t>4</w:t>
      </w:r>
      <w:r>
        <w:rPr>
          <w:rFonts w:hint="eastAsia" w:ascii="宋体" w:hAnsi="宋体" w:cs="宋体"/>
          <w:b/>
          <w:bCs/>
          <w:snapToGrid w:val="0"/>
          <w:szCs w:val="21"/>
          <w:highlight w:val="none"/>
        </w:rPr>
        <w:t>.报价要求：</w:t>
      </w:r>
      <w:r>
        <w:rPr>
          <w:rFonts w:hint="eastAsia" w:ascii="宋体" w:hAnsi="宋体" w:cs="宋体"/>
          <w:snapToGrid w:val="0"/>
          <w:szCs w:val="21"/>
          <w:highlight w:val="none"/>
          <w:lang w:eastAsia="zh-CN"/>
        </w:rPr>
        <w:t>投标人</w:t>
      </w:r>
      <w:r>
        <w:rPr>
          <w:rFonts w:hint="eastAsia" w:ascii="宋体" w:hAnsi="宋体" w:cs="宋体"/>
          <w:snapToGrid w:val="0"/>
          <w:szCs w:val="21"/>
          <w:highlight w:val="none"/>
        </w:rPr>
        <w:t>应对项目进行充分了解，并考虑现场实际情况，自主报价。</w:t>
      </w:r>
      <w:r>
        <w:rPr>
          <w:rFonts w:hint="eastAsia" w:ascii="宋体" w:hAnsi="宋体" w:cs="宋体"/>
          <w:snapToGrid w:val="0"/>
          <w:szCs w:val="21"/>
          <w:highlight w:val="none"/>
          <w:lang w:eastAsia="zh-CN"/>
        </w:rPr>
        <w:t>投标人</w:t>
      </w:r>
      <w:r>
        <w:rPr>
          <w:rFonts w:hint="eastAsia" w:ascii="宋体" w:hAnsi="宋体" w:cs="宋体"/>
          <w:snapToGrid w:val="0"/>
          <w:szCs w:val="21"/>
          <w:highlight w:val="none"/>
        </w:rPr>
        <w:t>应承担踏勘现场的责任和风险，包括为完成本项目所需的货物、保险、税费、加工及加工损耗、运输、现场落地、调试、检测验收、为完成本项目所必须的其他辅助工作的相关费用等所有费用。</w:t>
      </w:r>
      <w:r>
        <w:rPr>
          <w:rFonts w:hint="eastAsia"/>
          <w:highlight w:val="none"/>
        </w:rPr>
        <w:t>一旦中标，其中标价不再调整，后期不得以不了解或不完全了解现场情况为由提出增加费用。</w:t>
      </w:r>
    </w:p>
    <w:p>
      <w:pPr>
        <w:spacing w:line="460" w:lineRule="exact"/>
        <w:ind w:firstLine="422" w:firstLineChars="200"/>
        <w:rPr>
          <w:rFonts w:ascii="宋体" w:hAnsi="宋体" w:cs="宋体"/>
          <w:b/>
          <w:bCs/>
          <w:snapToGrid w:val="0"/>
          <w:szCs w:val="21"/>
          <w:highlight w:val="none"/>
        </w:rPr>
      </w:pPr>
      <w:r>
        <w:rPr>
          <w:rFonts w:hint="eastAsia" w:ascii="宋体" w:hAnsi="宋体" w:cs="宋体"/>
          <w:b/>
          <w:bCs/>
          <w:snapToGrid w:val="0"/>
          <w:szCs w:val="21"/>
          <w:highlight w:val="none"/>
          <w:lang w:val="en-US" w:eastAsia="zh-CN"/>
        </w:rPr>
        <w:t>5</w:t>
      </w:r>
      <w:r>
        <w:rPr>
          <w:rFonts w:hint="eastAsia" w:ascii="宋体" w:hAnsi="宋体" w:cs="宋体"/>
          <w:b/>
          <w:bCs/>
          <w:snapToGrid w:val="0"/>
          <w:szCs w:val="21"/>
          <w:highlight w:val="none"/>
        </w:rPr>
        <w:t>.其他要求：</w:t>
      </w:r>
    </w:p>
    <w:p>
      <w:pPr>
        <w:spacing w:line="460" w:lineRule="exact"/>
        <w:ind w:firstLine="420" w:firstLineChars="200"/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napToGrid w:val="0"/>
          <w:szCs w:val="21"/>
          <w:highlight w:val="none"/>
        </w:rPr>
        <w:t>（1</w:t>
      </w:r>
      <w:r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  <w:t>）气体充装完成，恢复安装就位后，中标人须确保其使用功能满足消防相关规范要求。</w:t>
      </w:r>
    </w:p>
    <w:p>
      <w:pPr>
        <w:spacing w:line="460" w:lineRule="exact"/>
        <w:ind w:firstLine="420" w:firstLineChars="200"/>
        <w:rPr>
          <w:rFonts w:hint="default" w:ascii="宋体" w:hAnsi="宋体" w:eastAsia="宋体" w:cs="宋体"/>
          <w:snapToGrid w:val="0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  <w:t>（2）中标人拟派的</w:t>
      </w:r>
      <w:r>
        <w:rPr>
          <w:rFonts w:hint="eastAsia" w:ascii="宋体" w:hAnsi="宋体" w:cs="宋体"/>
          <w:snapToGrid w:val="0"/>
          <w:szCs w:val="21"/>
          <w:highlight w:val="none"/>
        </w:rPr>
        <w:t>技术服务人员</w:t>
      </w:r>
      <w:r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  <w:t>进入招标人场地进行现场作业时，必须遵守招标人的各项安全规定，否则引起的人员伤亡或者给招标人造成损失的均由中标人承担。</w:t>
      </w:r>
    </w:p>
    <w:p>
      <w:pPr>
        <w:snapToGrid w:val="0"/>
        <w:spacing w:line="460" w:lineRule="exact"/>
        <w:ind w:firstLine="420" w:firstLineChars="200"/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napToGrid w:val="0"/>
          <w:szCs w:val="21"/>
          <w:highlight w:val="none"/>
        </w:rPr>
        <w:t>（</w:t>
      </w:r>
      <w:r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  <w:t>3</w:t>
      </w:r>
      <w:r>
        <w:rPr>
          <w:rFonts w:hint="eastAsia" w:ascii="宋体" w:hAnsi="宋体" w:cs="宋体"/>
          <w:snapToGrid w:val="0"/>
          <w:szCs w:val="21"/>
          <w:highlight w:val="none"/>
        </w:rPr>
        <w:t>）</w:t>
      </w:r>
      <w:r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  <w:t>招标人验收质量不合格，中标人须及时无偿返工直至验收合格。</w:t>
      </w:r>
    </w:p>
    <w:p>
      <w:pPr>
        <w:snapToGrid w:val="0"/>
        <w:spacing w:line="460" w:lineRule="exact"/>
        <w:ind w:firstLine="422" w:firstLineChars="200"/>
        <w:rPr>
          <w:rFonts w:ascii="宋体" w:hAnsi="宋体" w:cs="宋体"/>
          <w:b/>
          <w:bCs/>
          <w:snapToGrid w:val="0"/>
          <w:szCs w:val="21"/>
          <w:highlight w:val="none"/>
        </w:rPr>
      </w:pPr>
      <w:r>
        <w:rPr>
          <w:rFonts w:hint="eastAsia" w:ascii="宋体" w:hAnsi="宋体" w:cs="宋体"/>
          <w:b/>
          <w:bCs/>
          <w:snapToGrid w:val="0"/>
          <w:szCs w:val="21"/>
          <w:highlight w:val="none"/>
          <w:lang w:val="en-US" w:eastAsia="zh-CN"/>
        </w:rPr>
        <w:t>6</w:t>
      </w:r>
      <w:r>
        <w:rPr>
          <w:rFonts w:hint="eastAsia" w:ascii="宋体" w:hAnsi="宋体" w:cs="宋体"/>
          <w:b/>
          <w:bCs/>
          <w:snapToGrid w:val="0"/>
          <w:szCs w:val="21"/>
          <w:highlight w:val="none"/>
        </w:rPr>
        <w:t>.付款方式：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>
      <w:pPr>
        <w:spacing w:line="460" w:lineRule="exact"/>
        <w:ind w:firstLine="420" w:firstLineChars="200"/>
        <w:rPr>
          <w:rFonts w:hint="eastAsia" w:ascii="宋体" w:hAnsi="宋体" w:cs="宋体"/>
          <w:snapToGrid w:val="0"/>
          <w:szCs w:val="21"/>
          <w:highlight w:val="none"/>
        </w:rPr>
      </w:pPr>
      <w:r>
        <w:rPr>
          <w:rFonts w:hint="eastAsia" w:ascii="宋体" w:hAnsi="宋体" w:cs="宋体"/>
          <w:snapToGrid w:val="0"/>
          <w:szCs w:val="21"/>
          <w:highlight w:val="none"/>
          <w:lang w:val="en-US" w:eastAsia="zh-CN"/>
        </w:rPr>
        <w:t>项目结束经招标人检验合格后，2个月内一次性结清项目款</w:t>
      </w:r>
      <w:r>
        <w:rPr>
          <w:rFonts w:hint="eastAsia" w:ascii="宋体" w:hAnsi="宋体" w:cs="宋体"/>
          <w:snapToGrid w:val="0"/>
          <w:szCs w:val="21"/>
          <w:highlight w:val="none"/>
        </w:rPr>
        <w:t>。</w:t>
      </w:r>
    </w:p>
    <w:p>
      <w:pPr>
        <w:spacing w:line="460" w:lineRule="exact"/>
        <w:ind w:firstLine="420" w:firstLineChars="200"/>
        <w:rPr>
          <w:rFonts w:hint="eastAsia" w:ascii="宋体" w:hAnsi="宋体" w:cs="宋体"/>
          <w:snapToGrid w:val="0"/>
          <w:szCs w:val="21"/>
          <w:highlight w:val="none"/>
        </w:rPr>
      </w:pPr>
      <w:r>
        <w:rPr>
          <w:rFonts w:hint="eastAsia" w:ascii="宋体" w:hAnsi="宋体" w:cs="宋体"/>
          <w:snapToGrid w:val="0"/>
          <w:szCs w:val="21"/>
          <w:highlight w:val="none"/>
        </w:rPr>
        <w:t>注：中标人需提供</w:t>
      </w:r>
      <w:r>
        <w:rPr>
          <w:rFonts w:hint="eastAsia" w:ascii="宋体" w:hAnsi="宋体" w:cs="宋体"/>
          <w:snapToGrid w:val="0"/>
          <w:szCs w:val="21"/>
          <w:highlight w:val="none"/>
          <w:lang w:eastAsia="zh-CN"/>
        </w:rPr>
        <w:t>招标人</w:t>
      </w:r>
      <w:r>
        <w:rPr>
          <w:rFonts w:hint="eastAsia" w:ascii="宋体" w:hAnsi="宋体" w:cs="宋体"/>
          <w:snapToGrid w:val="0"/>
          <w:szCs w:val="21"/>
          <w:highlight w:val="none"/>
        </w:rPr>
        <w:t>要求的增值税发票，如中标人逾期提供发票或提供发票不合格，</w:t>
      </w:r>
      <w:r>
        <w:rPr>
          <w:rFonts w:hint="eastAsia" w:ascii="宋体" w:hAnsi="宋体" w:cs="宋体"/>
          <w:snapToGrid w:val="0"/>
          <w:szCs w:val="21"/>
          <w:highlight w:val="none"/>
          <w:lang w:eastAsia="zh-CN"/>
        </w:rPr>
        <w:t>招标人</w:t>
      </w:r>
      <w:r>
        <w:rPr>
          <w:rFonts w:hint="eastAsia" w:ascii="宋体" w:hAnsi="宋体" w:cs="宋体"/>
          <w:snapToGrid w:val="0"/>
          <w:szCs w:val="21"/>
          <w:highlight w:val="none"/>
        </w:rPr>
        <w:t>可延期付款。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BDB7CA"/>
    <w:multiLevelType w:val="singleLevel"/>
    <w:tmpl w:val="46BDB7C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OTI1YjMzNzU1MGU0NTliYzYxY2RiZWM1MzEwMGQifQ=="/>
  </w:docVars>
  <w:rsids>
    <w:rsidRoot w:val="47385EC0"/>
    <w:rsid w:val="4738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Body Text First Indent"/>
    <w:basedOn w:val="6"/>
    <w:qFormat/>
    <w:uiPriority w:val="0"/>
    <w:pPr>
      <w:tabs>
        <w:tab w:val="left" w:pos="567"/>
      </w:tabs>
      <w:spacing w:after="120"/>
      <w:ind w:firstLine="420" w:firstLineChars="100"/>
    </w:pPr>
  </w:style>
  <w:style w:type="paragraph" w:styleId="6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2022-08-25T01:39:00Z</dcterms:created>
  <dc:creator>兔子爱上了窝边草</dc:creator>
  <cp:lastModifiedBy>兔子爱上了窝边草</cp:lastModifiedBy>
  <dcterms:modified xsi:type="dcterms:W3CDTF">2022-08-25T01:40:41Z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216E2BD057B34F53AB1731E4DD52EF86</vt:lpwstr>
  </property>
</Properties>
</file>