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outlineLvl w:val="0"/>
        <w:rPr>
          <w:rFonts w:ascii="宋体" w:cs="宋体"/>
          <w:b/>
          <w:bCs/>
          <w:snapToGrid w:val="0"/>
          <w:kern w:val="0"/>
          <w:sz w:val="32"/>
          <w:szCs w:val="32"/>
        </w:rPr>
      </w:pPr>
      <w:bookmarkStart w:id="3" w:name="_GoBack"/>
      <w:bookmarkEnd w:id="3"/>
      <w:bookmarkStart w:id="0" w:name="_Toc12933"/>
      <w:bookmarkStart w:id="1" w:name="_Toc54941339"/>
      <w:bookmarkStart w:id="2" w:name="_Toc28266"/>
      <w:r>
        <w:rPr>
          <w:rFonts w:hint="eastAsia" w:ascii="宋体" w:hAnsi="宋体" w:cs="宋体"/>
          <w:b/>
          <w:sz w:val="32"/>
          <w:szCs w:val="32"/>
          <w:lang w:val="zh-CN"/>
        </w:rPr>
        <w:t>货物需求及参数要求</w:t>
      </w:r>
      <w:bookmarkEnd w:id="0"/>
      <w:bookmarkEnd w:id="1"/>
      <w:bookmarkEnd w:id="2"/>
    </w:p>
    <w:p>
      <w:pPr>
        <w:widowControl/>
        <w:spacing w:line="360" w:lineRule="auto"/>
        <w:ind w:firstLine="420" w:firstLineChars="200"/>
        <w:rPr>
          <w:rFonts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采购文件的相关要求，并说明调整理由，且该调整须经评标委员会审核认可。</w:t>
      </w:r>
    </w:p>
    <w:p>
      <w:pPr>
        <w:widowControl/>
        <w:numPr>
          <w:ilvl w:val="0"/>
          <w:numId w:val="1"/>
        </w:numPr>
        <w:spacing w:line="360" w:lineRule="auto"/>
        <w:ind w:firstLine="422"/>
        <w:jc w:val="left"/>
        <w:rPr>
          <w:b/>
          <w:bCs/>
        </w:rPr>
      </w:pPr>
      <w:r>
        <w:rPr>
          <w:rFonts w:hint="eastAsia"/>
          <w:b/>
          <w:bCs/>
        </w:rPr>
        <w:t>货物需求一览表</w:t>
      </w:r>
    </w:p>
    <w:tbl>
      <w:tblPr>
        <w:tblStyle w:val="3"/>
        <w:tblW w:w="9994" w:type="dxa"/>
        <w:jc w:val="center"/>
        <w:tblLayout w:type="fixed"/>
        <w:tblCellMar>
          <w:top w:w="0" w:type="dxa"/>
          <w:left w:w="108" w:type="dxa"/>
          <w:bottom w:w="0" w:type="dxa"/>
          <w:right w:w="108" w:type="dxa"/>
        </w:tblCellMar>
      </w:tblPr>
      <w:tblGrid>
        <w:gridCol w:w="717"/>
        <w:gridCol w:w="2605"/>
        <w:gridCol w:w="3623"/>
        <w:gridCol w:w="1549"/>
        <w:gridCol w:w="1500"/>
      </w:tblGrid>
      <w:tr>
        <w:tblPrEx>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2605"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362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技术参数</w:t>
            </w: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val="en-US" w:eastAsia="zh-CN" w:bidi="ar"/>
              </w:rPr>
              <w:t>三</w:t>
            </w:r>
            <w:r>
              <w:rPr>
                <w:rFonts w:hint="eastAsia" w:ascii="宋体" w:hAnsi="宋体" w:cs="宋体"/>
                <w:b/>
                <w:bCs/>
                <w:color w:val="000000"/>
                <w:kern w:val="0"/>
                <w:szCs w:val="21"/>
                <w:lang w:bidi="ar"/>
              </w:rPr>
              <w:t>年约使用量</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val="en-US" w:eastAsia="zh-CN" w:bidi="ar"/>
              </w:rPr>
              <w:t>单价</w:t>
            </w:r>
            <w:r>
              <w:rPr>
                <w:rFonts w:hint="eastAsia" w:ascii="宋体" w:hAnsi="宋体" w:cs="宋体"/>
                <w:b/>
                <w:bCs/>
                <w:color w:val="000000"/>
                <w:kern w:val="0"/>
                <w:szCs w:val="21"/>
                <w:lang w:bidi="ar"/>
              </w:rPr>
              <w:t>最高限价</w:t>
            </w:r>
          </w:p>
        </w:tc>
      </w:tr>
      <w:tr>
        <w:tblPrEx>
          <w:tblCellMar>
            <w:top w:w="0" w:type="dxa"/>
            <w:left w:w="108" w:type="dxa"/>
            <w:bottom w:w="0" w:type="dxa"/>
            <w:right w:w="108" w:type="dxa"/>
          </w:tblCellMar>
        </w:tblPrEx>
        <w:trPr>
          <w:trHeight w:val="1126" w:hRule="atLeast"/>
          <w:jc w:val="center"/>
        </w:trPr>
        <w:tc>
          <w:tcPr>
            <w:tcW w:w="717" w:type="dxa"/>
            <w:tcBorders>
              <w:top w:val="single" w:color="auto" w:sz="4" w:space="0"/>
              <w:left w:val="single" w:color="auto" w:sz="4" w:space="0"/>
              <w:right w:val="single" w:color="000000" w:sz="4" w:space="0"/>
            </w:tcBorders>
            <w:noWrap/>
            <w:vAlign w:val="center"/>
          </w:tcPr>
          <w:p>
            <w:pPr>
              <w:widowControl/>
              <w:spacing w:line="360" w:lineRule="auto"/>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w:t>
            </w:r>
          </w:p>
        </w:tc>
        <w:tc>
          <w:tcPr>
            <w:tcW w:w="2605" w:type="dxa"/>
            <w:tcBorders>
              <w:top w:val="single" w:color="auto" w:sz="4" w:space="0"/>
              <w:left w:val="single" w:color="000000" w:sz="4" w:space="0"/>
              <w:bottom w:val="single" w:color="auto" w:sz="4" w:space="0"/>
              <w:right w:val="single" w:color="auto" w:sz="4" w:space="0"/>
            </w:tcBorders>
            <w:noWrap/>
            <w:vAlign w:val="center"/>
          </w:tcPr>
          <w:p>
            <w:pPr>
              <w:widowControl/>
              <w:spacing w:line="360" w:lineRule="auto"/>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呼</w:t>
            </w:r>
            <w:r>
              <w:rPr>
                <w:rFonts w:hint="eastAsia" w:ascii="宋体" w:hAnsi="宋体" w:eastAsia="宋体" w:cs="宋体"/>
                <w:kern w:val="0"/>
                <w:szCs w:val="21"/>
                <w:lang w:bidi="ar"/>
              </w:rPr>
              <w:t>吸道病原菌核酸检测试剂盒(恒温扩增芯片法）</w:t>
            </w:r>
          </w:p>
        </w:tc>
        <w:tc>
          <w:tcPr>
            <w:tcW w:w="3623" w:type="dxa"/>
            <w:tcBorders>
              <w:top w:val="single" w:color="000000" w:sz="4" w:space="0"/>
              <w:left w:val="single" w:color="auto" w:sz="4" w:space="0"/>
              <w:right w:val="single" w:color="000000" w:sz="4" w:space="0"/>
            </w:tcBorders>
            <w:noWrap/>
            <w:vAlign w:val="center"/>
          </w:tcPr>
          <w:p>
            <w:pPr>
              <w:widowControl/>
              <w:spacing w:line="360" w:lineRule="auto"/>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val="en-US" w:eastAsia="zh-CN" w:bidi="ar"/>
              </w:rPr>
              <w:t>适用于北京博奥RTisochipTM-A型国产恒温扩增微流控芯片核酸分析仪</w:t>
            </w:r>
          </w:p>
        </w:tc>
        <w:tc>
          <w:tcPr>
            <w:tcW w:w="1549"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700人份</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400元/人份</w:t>
            </w:r>
          </w:p>
        </w:tc>
      </w:tr>
      <w:tr>
        <w:tblPrEx>
          <w:tblCellMar>
            <w:top w:w="0" w:type="dxa"/>
            <w:left w:w="108" w:type="dxa"/>
            <w:bottom w:w="0" w:type="dxa"/>
            <w:right w:w="108" w:type="dxa"/>
          </w:tblCellMar>
        </w:tblPrEx>
        <w:trPr>
          <w:trHeight w:val="445" w:hRule="atLeast"/>
          <w:jc w:val="center"/>
        </w:trPr>
        <w:tc>
          <w:tcPr>
            <w:tcW w:w="9994" w:type="dxa"/>
            <w:gridSpan w:val="5"/>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rPr>
              <w:t>说</w:t>
            </w:r>
            <w:r>
              <w:rPr>
                <w:rFonts w:hint="eastAsia" w:ascii="宋体" w:hAnsi="宋体" w:eastAsia="宋体" w:cs="宋体"/>
                <w:bCs/>
                <w:sz w:val="21"/>
                <w:szCs w:val="21"/>
                <w:highlight w:val="none"/>
              </w:rPr>
              <w:t>明：</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1.</w:t>
            </w:r>
            <w:r>
              <w:rPr>
                <w:rFonts w:hint="eastAsia" w:ascii="宋体" w:hAnsi="宋体" w:eastAsia="宋体" w:cs="宋体"/>
                <w:bCs/>
                <w:sz w:val="21"/>
                <w:szCs w:val="21"/>
                <w:highlight w:val="none"/>
              </w:rPr>
              <w:t>投标人的投标文件必须标明所投货物的品牌与参数，保证原厂正品供货，提供相关资料等。</w:t>
            </w:r>
          </w:p>
          <w:p>
            <w:pPr>
              <w:spacing w:line="360" w:lineRule="auto"/>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本项目一次性规划，分步实施，按实结算。本项目耗材进入我院SPD管理。</w:t>
            </w:r>
          </w:p>
          <w:p>
            <w:pPr>
              <w:spacing w:line="360" w:lineRule="auto"/>
              <w:ind w:firstLine="420" w:firstLineChars="200"/>
              <w:jc w:val="left"/>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3.</w:t>
            </w:r>
            <w:r>
              <w:rPr>
                <w:rFonts w:hint="eastAsia" w:ascii="宋体" w:hAnsi="宋体" w:eastAsia="宋体" w:cs="宋体"/>
                <w:b/>
                <w:bCs w:val="0"/>
                <w:sz w:val="21"/>
                <w:szCs w:val="21"/>
                <w:highlight w:val="none"/>
              </w:rPr>
              <w:t>投标人须承诺：（1）</w:t>
            </w:r>
            <w:r>
              <w:rPr>
                <w:rFonts w:hint="eastAsia" w:ascii="宋体" w:hAnsi="宋体" w:cs="宋体"/>
                <w:b/>
                <w:bCs w:val="0"/>
                <w:sz w:val="21"/>
                <w:szCs w:val="21"/>
                <w:highlight w:val="none"/>
                <w:lang w:val="en-US" w:eastAsia="zh-CN"/>
              </w:rPr>
              <w:t>所投</w:t>
            </w:r>
            <w:r>
              <w:rPr>
                <w:rFonts w:hint="eastAsia" w:ascii="宋体" w:hAnsi="宋体" w:eastAsia="宋体" w:cs="宋体"/>
                <w:b/>
                <w:bCs w:val="0"/>
                <w:sz w:val="21"/>
                <w:szCs w:val="21"/>
                <w:highlight w:val="none"/>
              </w:rPr>
              <w:t>产品如有两票制要求则须执行两票制相关要求；（2）</w:t>
            </w:r>
            <w:r>
              <w:rPr>
                <w:rFonts w:hint="eastAsia" w:ascii="宋体" w:hAnsi="宋体" w:cs="宋体"/>
                <w:b/>
                <w:bCs w:val="0"/>
                <w:sz w:val="21"/>
                <w:szCs w:val="21"/>
                <w:highlight w:val="none"/>
                <w:lang w:val="en-US" w:eastAsia="zh-CN"/>
              </w:rPr>
              <w:t>所投</w:t>
            </w:r>
            <w:r>
              <w:rPr>
                <w:rFonts w:hint="eastAsia" w:ascii="宋体" w:hAnsi="宋体" w:eastAsia="宋体" w:cs="宋体"/>
                <w:b/>
                <w:bCs w:val="0"/>
                <w:sz w:val="21"/>
                <w:szCs w:val="21"/>
                <w:highlight w:val="none"/>
              </w:rPr>
              <w:t>产品如在安徽省医药集中采购中心有相关要求，则须执行安徽省医药集中采购中心相关要求。</w:t>
            </w:r>
            <w:r>
              <w:rPr>
                <w:rFonts w:hint="eastAsia" w:ascii="宋体" w:hAnsi="宋体" w:eastAsia="宋体" w:cs="宋体"/>
                <w:b/>
                <w:bCs w:val="0"/>
                <w:sz w:val="21"/>
                <w:szCs w:val="21"/>
                <w:highlight w:val="none"/>
                <w:lang w:val="en-US" w:eastAsia="zh-CN"/>
              </w:rPr>
              <w:t>投标人</w:t>
            </w:r>
            <w:r>
              <w:rPr>
                <w:rFonts w:hint="eastAsia" w:ascii="宋体" w:hAnsi="宋体" w:eastAsia="宋体" w:cs="宋体"/>
                <w:b/>
                <w:bCs w:val="0"/>
                <w:sz w:val="21"/>
                <w:szCs w:val="21"/>
                <w:highlight w:val="none"/>
              </w:rPr>
              <w:t>须在投标文件中提供承诺函并加盖投标人公章</w:t>
            </w:r>
            <w:r>
              <w:rPr>
                <w:rFonts w:hint="eastAsia" w:ascii="宋体" w:hAnsi="宋体" w:cs="宋体"/>
                <w:b/>
                <w:bCs w:val="0"/>
                <w:sz w:val="21"/>
                <w:szCs w:val="21"/>
                <w:highlight w:val="none"/>
                <w:lang w:eastAsia="zh-CN"/>
              </w:rPr>
              <w:t>。</w:t>
            </w:r>
          </w:p>
          <w:p>
            <w:pPr>
              <w:widowControl/>
              <w:spacing w:line="360" w:lineRule="auto"/>
              <w:ind w:firstLine="420" w:firstLineChars="200"/>
              <w:jc w:val="left"/>
              <w:textAlignment w:val="center"/>
              <w:rPr>
                <w:rFonts w:ascii="宋体" w:hAnsi="宋体" w:cs="宋体"/>
                <w:bCs/>
                <w:szCs w:val="21"/>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服务期内如遇国家、省医保带量采购等相关政策调整，按国家、省医保带量采购等相关政策执行。</w:t>
            </w:r>
          </w:p>
        </w:tc>
      </w:tr>
    </w:tbl>
    <w:p>
      <w:pPr>
        <w:widowControl/>
        <w:shd w:val="clear" w:color="auto" w:fill="FFFFFF"/>
        <w:spacing w:line="360" w:lineRule="auto"/>
        <w:rPr>
          <w:rFonts w:ascii="宋体" w:hAnsi="宋体" w:cs="宋体"/>
          <w:b/>
          <w:szCs w:val="21"/>
        </w:rPr>
      </w:pPr>
      <w:r>
        <w:rPr>
          <w:rFonts w:hint="eastAsia" w:ascii="宋体" w:hAnsi="宋体" w:cs="宋体"/>
          <w:b/>
          <w:szCs w:val="21"/>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2.如有有效期要求的产品</w:t>
      </w:r>
      <w:r>
        <w:rPr>
          <w:rFonts w:hint="eastAsia" w:ascii="宋体" w:hAnsi="宋体" w:cs="宋体"/>
          <w:color w:val="auto"/>
          <w:szCs w:val="21"/>
        </w:rPr>
        <w:t>，</w:t>
      </w:r>
      <w:r>
        <w:rPr>
          <w:rFonts w:hint="eastAsia" w:ascii="宋体" w:hAnsi="宋体" w:cs="宋体"/>
          <w:color w:val="auto"/>
          <w:szCs w:val="21"/>
          <w:lang w:val="en-US" w:eastAsia="zh-CN"/>
        </w:rPr>
        <w:t>其供货期距离</w:t>
      </w:r>
      <w:r>
        <w:rPr>
          <w:rFonts w:hint="eastAsia" w:ascii="宋体" w:hAnsi="宋体" w:cs="宋体"/>
          <w:color w:val="auto"/>
          <w:szCs w:val="21"/>
        </w:rPr>
        <w:t>有效期</w:t>
      </w:r>
      <w:r>
        <w:rPr>
          <w:rFonts w:hint="eastAsia" w:ascii="宋体" w:hAnsi="宋体" w:cs="宋体"/>
          <w:color w:val="auto"/>
          <w:szCs w:val="21"/>
          <w:lang w:val="en-US" w:eastAsia="zh-CN"/>
        </w:rPr>
        <w:t>时间不得少于有效期的2/3</w:t>
      </w:r>
      <w:r>
        <w:rPr>
          <w:rFonts w:hint="eastAsia" w:ascii="宋体" w:hAnsi="宋体" w:cs="宋体"/>
          <w:color w:val="auto"/>
          <w:szCs w:val="21"/>
        </w:rPr>
        <w:t>。</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5"/>
        <w:widowControl/>
        <w:numPr>
          <w:ilvl w:val="0"/>
          <w:numId w:val="2"/>
        </w:numPr>
        <w:shd w:val="clear" w:color="auto" w:fill="FFFFFF"/>
        <w:spacing w:line="360" w:lineRule="auto"/>
        <w:ind w:firstLineChars="0"/>
        <w:jc w:val="left"/>
        <w:rPr>
          <w:rFonts w:hint="default" w:eastAsia="宋体"/>
          <w:lang w:val="en-US" w:eastAsia="zh-CN"/>
        </w:rPr>
      </w:pPr>
      <w:r>
        <w:rPr>
          <w:rFonts w:hint="eastAsia" w:ascii="宋体" w:hAnsi="宋体" w:cs="宋体"/>
          <w:b/>
          <w:szCs w:val="21"/>
          <w:lang w:eastAsia="zh-CN"/>
        </w:rPr>
        <w:t>供货期</w:t>
      </w:r>
      <w:r>
        <w:rPr>
          <w:rFonts w:hint="eastAsia" w:ascii="宋体" w:hAnsi="宋体" w:cs="宋体"/>
          <w:b/>
          <w:szCs w:val="21"/>
        </w:rPr>
        <w:t>：</w:t>
      </w:r>
    </w:p>
    <w:p>
      <w:pPr>
        <w:pStyle w:val="5"/>
        <w:widowControl/>
        <w:numPr>
          <w:ilvl w:val="0"/>
          <w:numId w:val="0"/>
        </w:numPr>
        <w:shd w:val="clear" w:color="auto" w:fill="FFFFFF"/>
        <w:spacing w:line="360" w:lineRule="auto"/>
        <w:ind w:leftChars="0" w:firstLine="420" w:firstLineChars="200"/>
        <w:jc w:val="left"/>
        <w:rPr>
          <w:rFonts w:hint="default" w:eastAsia="宋体"/>
          <w:lang w:val="en-US" w:eastAsia="zh-CN"/>
        </w:rPr>
      </w:pPr>
      <w:r>
        <w:rPr>
          <w:rFonts w:hint="eastAsia" w:ascii="宋体" w:hAnsi="宋体" w:cs="宋体"/>
          <w:szCs w:val="21"/>
          <w:highlight w:val="none"/>
        </w:rPr>
        <w:t>自合同签订之日起</w:t>
      </w:r>
      <w:r>
        <w:rPr>
          <w:rFonts w:hint="eastAsia" w:ascii="宋体" w:hAnsi="宋体" w:cs="宋体"/>
          <w:szCs w:val="21"/>
          <w:highlight w:val="none"/>
          <w:lang w:val="en-US" w:eastAsia="zh-CN"/>
        </w:rPr>
        <w:t>三</w:t>
      </w:r>
      <w:r>
        <w:rPr>
          <w:rFonts w:hint="eastAsia" w:ascii="宋体" w:hAnsi="宋体" w:cs="宋体"/>
          <w:szCs w:val="21"/>
          <w:highlight w:val="none"/>
        </w:rPr>
        <w:t>年或采购费用总额达到中标总价时，以先到者为准，在供货期内按照采购人的要求分批供货，据实结算。</w:t>
      </w:r>
    </w:p>
    <w:p>
      <w:pPr>
        <w:spacing w:line="440" w:lineRule="exact"/>
        <w:jc w:val="left"/>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lang w:val="en-US" w:eastAsia="zh-CN"/>
        </w:rPr>
        <w:t>总价</w:t>
      </w:r>
      <w:r>
        <w:rPr>
          <w:rFonts w:hint="eastAsia" w:ascii="宋体" w:hAnsi="宋体" w:cs="宋体"/>
          <w:snapToGrid w:val="0"/>
          <w:color w:val="auto"/>
          <w:szCs w:val="21"/>
        </w:rPr>
        <w:t>进行报价，其</w:t>
      </w:r>
      <w:r>
        <w:rPr>
          <w:rFonts w:hint="eastAsia" w:ascii="宋体" w:hAnsi="宋体"/>
          <w:color w:val="auto"/>
          <w:szCs w:val="21"/>
          <w:lang w:eastAsia="zh-CN"/>
        </w:rPr>
        <w:t>投标</w:t>
      </w:r>
      <w:r>
        <w:rPr>
          <w:rFonts w:hint="eastAsia" w:ascii="宋体" w:hAnsi="宋体"/>
          <w:color w:val="auto"/>
          <w:szCs w:val="21"/>
          <w:lang w:val="en-US" w:eastAsia="zh-CN"/>
        </w:rPr>
        <w:t>报价</w:t>
      </w:r>
      <w:r>
        <w:rPr>
          <w:rFonts w:hint="eastAsia" w:ascii="宋体" w:hAnsi="宋体"/>
          <w:color w:val="auto"/>
          <w:szCs w:val="21"/>
        </w:rPr>
        <w:t>不得高于</w:t>
      </w:r>
      <w:r>
        <w:rPr>
          <w:rFonts w:hint="eastAsia" w:ascii="宋体" w:hAnsi="宋体"/>
          <w:color w:val="auto"/>
          <w:szCs w:val="21"/>
          <w:lang w:eastAsia="zh-CN"/>
        </w:rPr>
        <w:t>最高投标</w:t>
      </w:r>
      <w:r>
        <w:rPr>
          <w:rFonts w:hint="eastAsia" w:ascii="宋体" w:hAnsi="宋体"/>
          <w:color w:val="auto"/>
          <w:szCs w:val="21"/>
          <w:lang w:val="en-US" w:eastAsia="zh-CN"/>
        </w:rPr>
        <w:t>限价</w:t>
      </w:r>
      <w:r>
        <w:rPr>
          <w:rFonts w:hint="eastAsia"/>
          <w:color w:val="auto"/>
          <w:szCs w:val="21"/>
        </w:rPr>
        <w:t>。</w:t>
      </w:r>
      <w:r>
        <w:rPr>
          <w:rFonts w:hint="eastAsia" w:ascii="宋体" w:hAnsi="宋体" w:cs="宋体"/>
          <w:color w:val="auto"/>
          <w:szCs w:val="21"/>
        </w:rPr>
        <w:t>报价应包含产品费用、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w:t>
      </w:r>
      <w:r>
        <w:rPr>
          <w:rFonts w:hint="eastAsia" w:ascii="宋体" w:hAnsi="宋体" w:cs="宋体"/>
          <w:color w:val="auto"/>
          <w:szCs w:val="21"/>
          <w:lang w:val="en-US" w:eastAsia="zh-CN"/>
        </w:rPr>
        <w:t>印刷费、</w:t>
      </w:r>
      <w:r>
        <w:rPr>
          <w:rFonts w:hint="eastAsia" w:ascii="宋体" w:hAnsi="宋体" w:cs="宋体"/>
          <w:color w:val="auto"/>
          <w:szCs w:val="21"/>
        </w:rPr>
        <w:t>包装费、售后服务等为完成本项目所必须的其他辅助工作的相关费用等所有费用。投标人应结合采购需求及自身情况合理报价，一旦中标，中标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单价</w:t>
      </w:r>
      <w:r>
        <w:rPr>
          <w:rFonts w:hint="eastAsia" w:ascii="宋体" w:hAnsi="宋体" w:cs="宋体"/>
          <w:color w:val="auto"/>
          <w:szCs w:val="21"/>
        </w:rPr>
        <w:t>后期将不作任何调整。</w:t>
      </w:r>
    </w:p>
    <w:p>
      <w:pPr>
        <w:widowControl/>
        <w:spacing w:line="440" w:lineRule="exact"/>
        <w:rPr>
          <w:rFonts w:ascii="宋体" w:hAnsi="宋体" w:cs="宋体"/>
          <w:b/>
          <w:color w:val="auto"/>
          <w:szCs w:val="21"/>
        </w:rPr>
      </w:pPr>
      <w:r>
        <w:rPr>
          <w:rFonts w:hint="eastAsia" w:ascii="宋体" w:hAnsi="宋体" w:cs="宋体"/>
          <w:b/>
          <w:color w:val="auto"/>
          <w:szCs w:val="21"/>
        </w:rPr>
        <w:t>七、付款方式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本项目一次性规划，分步实施，按实结算，货到验收合格、收到正规发票后6个月内付款。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1">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366C2B2E"/>
    <w:rsid w:val="366C2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0"/>
    </w:rPr>
  </w:style>
  <w:style w:type="paragraph" w:styleId="5">
    <w:name w:val="List Paragraph"/>
    <w:basedOn w:val="1"/>
    <w:autoRedefine/>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2024-04-01T09:19:00Z</dcterms:created>
  <dc:creator>次舜乒谢河</dc:creator>
  <cp:lastModifiedBy>次舜乒谢河</cp:lastModifiedBy>
  <dcterms:modified xsi:type="dcterms:W3CDTF">2024-04-01T09:20:36Z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2BA6AB8D304F4C0D8D51D6E84794FA04_11</vt:lpwstr>
  </property>
</Properties>
</file>