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3213" w:hanging="3213" w:hangingChars="1000"/>
        <w:jc w:val="both"/>
        <w:rPr>
          <w:rFonts w:hint="eastAsia"/>
          <w:color w:val="000000"/>
          <w:highlight w:val="none"/>
        </w:rPr>
      </w:pPr>
      <w:bookmarkStart w:id="0" w:name="_Toc12616"/>
      <w:bookmarkStart w:id="1" w:name="_Toc490233120"/>
      <w:r>
        <w:rPr>
          <w:rFonts w:hint="eastAsia"/>
          <w:color w:val="000000"/>
          <w:highlight w:val="none"/>
          <w:lang w:val="en-US" w:eastAsia="zh-CN"/>
        </w:rPr>
        <w:t>附件：</w:t>
      </w:r>
      <w:r>
        <w:rPr>
          <w:rFonts w:hint="eastAsia"/>
          <w:color w:val="000000"/>
          <w:highlight w:val="none"/>
        </w:rPr>
        <w:br w:type="textWrapping"/>
      </w:r>
      <w:bookmarkStart w:id="26" w:name="_GoBack"/>
      <w:bookmarkEnd w:id="26"/>
      <w:r>
        <w:rPr>
          <w:rFonts w:hint="eastAsia"/>
          <w:color w:val="000000"/>
          <w:highlight w:val="none"/>
        </w:rPr>
        <w:t>货物需求及技术要求</w:t>
      </w:r>
      <w:bookmarkEnd w:id="0"/>
      <w:bookmarkEnd w:id="1"/>
    </w:p>
    <w:p>
      <w:pPr>
        <w:widowControl/>
        <w:spacing w:line="440" w:lineRule="exact"/>
        <w:ind w:firstLine="422" w:firstLineChars="200"/>
        <w:rPr>
          <w:rFonts w:hint="eastAsia" w:ascii="宋体" w:hAnsi="宋体" w:eastAsia="宋体" w:cs="宋体"/>
          <w:b/>
          <w:szCs w:val="21"/>
          <w:highlight w:val="none"/>
          <w:lang w:eastAsia="zh-CN"/>
        </w:rPr>
      </w:pPr>
      <w:bookmarkStart w:id="2" w:name="_Toc7241"/>
      <w:bookmarkStart w:id="3" w:name="_Toc24523"/>
      <w:bookmarkStart w:id="4" w:name="_Toc12315"/>
      <w:r>
        <w:rPr>
          <w:rFonts w:hint="eastAsia" w:ascii="宋体" w:hAnsi="宋体" w:cs="宋体"/>
          <w:b/>
          <w:szCs w:val="21"/>
          <w:highlight w:val="none"/>
        </w:rPr>
        <w:t>一、采购</w:t>
      </w:r>
      <w:bookmarkStart w:id="5" w:name="_Toc98035089"/>
      <w:bookmarkStart w:id="6" w:name="_Toc46308687"/>
      <w:bookmarkStart w:id="7" w:name="_Toc42394517"/>
      <w:bookmarkStart w:id="8" w:name="_Toc175644394"/>
      <w:bookmarkStart w:id="9" w:name="_Toc273520768"/>
      <w:bookmarkStart w:id="10" w:name="_Toc42394673"/>
      <w:bookmarkStart w:id="11" w:name="_Toc98579610"/>
      <w:bookmarkStart w:id="12" w:name="_Toc101775125"/>
      <w:bookmarkStart w:id="13" w:name="_Toc50276204"/>
      <w:bookmarkStart w:id="14" w:name="_Toc42313172"/>
      <w:bookmarkStart w:id="15" w:name="_Toc50276165"/>
      <w:bookmarkStart w:id="16" w:name="_Toc98579069"/>
      <w:bookmarkStart w:id="17" w:name="_Toc101843125"/>
      <w:bookmarkStart w:id="18" w:name="_Toc41884706"/>
      <w:bookmarkStart w:id="19" w:name="_Toc46308531"/>
      <w:bookmarkStart w:id="20" w:name="_Toc41723936"/>
      <w:bookmarkStart w:id="21" w:name="_Toc101951263"/>
      <w:bookmarkStart w:id="22" w:name="_Toc101771372"/>
      <w:bookmarkStart w:id="23" w:name="_Toc98580293"/>
      <w:bookmarkStart w:id="24" w:name="_Toc272497418"/>
      <w:bookmarkStart w:id="25" w:name="_Toc98579011"/>
      <w:r>
        <w:rPr>
          <w:rFonts w:hint="eastAsia" w:ascii="宋体" w:hAnsi="宋体" w:cs="宋体"/>
          <w:b/>
          <w:szCs w:val="21"/>
          <w:highlight w:val="none"/>
          <w:lang w:val="en-US" w:eastAsia="zh-CN"/>
        </w:rPr>
        <w:t>内容</w:t>
      </w:r>
    </w:p>
    <w:tbl>
      <w:tblPr>
        <w:tblStyle w:val="6"/>
        <w:tblW w:w="54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77"/>
        <w:gridCol w:w="5169"/>
        <w:gridCol w:w="130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33"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685"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货物名称</w:t>
            </w:r>
          </w:p>
        </w:tc>
        <w:tc>
          <w:tcPr>
            <w:tcW w:w="2571"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w:t>
            </w:r>
          </w:p>
        </w:tc>
        <w:tc>
          <w:tcPr>
            <w:tcW w:w="650" w:type="pct"/>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snapToGrid w:val="0"/>
                <w:sz w:val="21"/>
                <w:szCs w:val="21"/>
                <w:highlight w:val="none"/>
              </w:rPr>
              <w:t>预计两年使用量</w:t>
            </w:r>
            <w:r>
              <w:rPr>
                <w:rFonts w:hint="eastAsia" w:ascii="宋体" w:hAnsi="宋体" w:cs="宋体"/>
                <w:snapToGrid w:val="0"/>
                <w:sz w:val="21"/>
                <w:szCs w:val="21"/>
                <w:highlight w:val="none"/>
                <w:lang w:eastAsia="zh-CN"/>
              </w:rPr>
              <w:t>（</w:t>
            </w:r>
            <w:r>
              <w:rPr>
                <w:rFonts w:hint="eastAsia" w:ascii="宋体" w:hAnsi="宋体" w:cs="宋体"/>
                <w:snapToGrid w:val="0"/>
                <w:sz w:val="21"/>
                <w:szCs w:val="21"/>
                <w:highlight w:val="none"/>
                <w:lang w:val="en-US" w:eastAsia="zh-CN"/>
              </w:rPr>
              <w:t>只</w:t>
            </w:r>
            <w:r>
              <w:rPr>
                <w:rFonts w:hint="eastAsia" w:ascii="宋体" w:hAnsi="宋体" w:cs="宋体"/>
                <w:snapToGrid w:val="0"/>
                <w:sz w:val="21"/>
                <w:szCs w:val="21"/>
                <w:highlight w:val="none"/>
                <w:lang w:eastAsia="zh-CN"/>
              </w:rPr>
              <w:t>）</w:t>
            </w:r>
          </w:p>
        </w:tc>
        <w:tc>
          <w:tcPr>
            <w:tcW w:w="759"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单价最高限价</w:t>
            </w:r>
          </w:p>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（元/</w:t>
            </w:r>
            <w:r>
              <w:rPr>
                <w:rFonts w:hint="eastAsia" w:ascii="宋体" w:hAnsi="宋体" w:cs="宋体"/>
                <w:color w:val="000000"/>
                <w:sz w:val="21"/>
                <w:szCs w:val="21"/>
                <w:highlight w:val="none"/>
                <w:lang w:val="en-US" w:eastAsia="zh-CN"/>
              </w:rPr>
              <w:t>只</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vAlign w:val="center"/>
          </w:tcPr>
          <w:p>
            <w:pPr>
              <w:spacing w:line="280" w:lineRule="exact"/>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685" w:type="pct"/>
            <w:vAlign w:val="center"/>
          </w:tcPr>
          <w:p>
            <w:pPr>
              <w:widowControl/>
              <w:spacing w:before="100" w:beforeAutospacing="1" w:after="100" w:afterAutospacing="1" w:line="360" w:lineRule="exact"/>
              <w:jc w:val="center"/>
              <w:textAlignment w:val="baseline"/>
              <w:rPr>
                <w:rFonts w:hint="eastAsia" w:ascii="宋体" w:hAnsi="宋体" w:eastAsia="宋体" w:cs="宋体"/>
                <w:color w:val="000000"/>
                <w:sz w:val="21"/>
                <w:szCs w:val="21"/>
                <w:highlight w:val="none"/>
              </w:rPr>
            </w:pPr>
            <w:r>
              <w:rPr>
                <w:rFonts w:hint="eastAsia" w:ascii="宋体" w:hAnsi="宋体" w:cs="宋体"/>
                <w:bCs/>
                <w:color w:val="000000"/>
                <w:kern w:val="0"/>
                <w:szCs w:val="21"/>
                <w:highlight w:val="none"/>
              </w:rPr>
              <w:t>赖脯胰岛素配套注射笔</w:t>
            </w:r>
          </w:p>
        </w:tc>
        <w:tc>
          <w:tcPr>
            <w:tcW w:w="2571" w:type="pct"/>
            <w:vAlign w:val="top"/>
          </w:tcPr>
          <w:p>
            <w:pP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本项目采购货物原配套产品为国家集中采购中选药品礼来公司的胰岛素笔芯（优泌林和优泌乐系列)，用于胰岛素的注射，投标人需确保所投产品与原配套产品相匹配。</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1.产品型号/规格及划分说明</w:t>
            </w:r>
          </w:p>
          <w:p>
            <w:pPr>
              <w:rPr>
                <w:rFonts w:hint="eastAsia" w:ascii="宋体" w:hAnsi="宋体" w:cs="宋体"/>
                <w:color w:val="000000"/>
                <w:szCs w:val="21"/>
                <w:highlight w:val="none"/>
              </w:rPr>
            </w:pPr>
            <w:r>
              <w:rPr>
                <w:rFonts w:hint="eastAsia" w:ascii="宋体" w:hAnsi="宋体" w:cs="宋体"/>
                <w:color w:val="000000"/>
                <w:szCs w:val="21"/>
                <w:highlight w:val="none"/>
              </w:rPr>
              <w:t>ErgoⅡ型笔式胰岛素注射器是一种可以重复使用的手工操作的笔式胰岛素注射器，用于糖尿病患者自行及其看护者帮助糖尿病患者皮下注射胰岛素。</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2</w:t>
            </w:r>
            <w:r>
              <w:rPr>
                <w:rFonts w:hint="eastAsia" w:ascii="宋体" w:hAnsi="宋体" w:cs="宋体"/>
                <w:b/>
                <w:bCs/>
                <w:color w:val="000000"/>
                <w:szCs w:val="21"/>
                <w:highlight w:val="none"/>
                <w:lang w:val="en-US" w:eastAsia="zh-CN"/>
              </w:rPr>
              <w:t>.</w:t>
            </w:r>
            <w:r>
              <w:rPr>
                <w:rFonts w:hint="eastAsia" w:ascii="宋体" w:hAnsi="宋体" w:cs="宋体"/>
                <w:b/>
                <w:bCs/>
                <w:color w:val="000000"/>
                <w:szCs w:val="21"/>
                <w:highlight w:val="none"/>
              </w:rPr>
              <w:t>性能</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2.1 外观</w:t>
            </w:r>
          </w:p>
          <w:p>
            <w:pPr>
              <w:rPr>
                <w:rFonts w:hint="eastAsia"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笔式注射器应完整，且各部分组成无破损。</w:t>
            </w:r>
          </w:p>
          <w:p>
            <w:pPr>
              <w:rPr>
                <w:rFonts w:hint="eastAsia" w:ascii="宋体" w:hAnsi="宋体" w:cs="宋体"/>
                <w:color w:val="000000"/>
                <w:szCs w:val="21"/>
                <w:highlight w:val="none"/>
              </w:rPr>
            </w:pPr>
            <w:r>
              <w:rPr>
                <w:rFonts w:hint="eastAsia" w:ascii="宋体" w:hAnsi="宋体" w:cs="宋体"/>
                <w:color w:val="000000"/>
                <w:szCs w:val="21"/>
                <w:highlight w:val="none"/>
              </w:rPr>
              <w:t>2.1.2</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笔式注射器应清洁，无颗粒、异物和机械杂质。</w:t>
            </w:r>
          </w:p>
          <w:p>
            <w:pPr>
              <w:rPr>
                <w:rFonts w:hint="eastAsia" w:ascii="宋体" w:hAnsi="宋体" w:cs="宋体"/>
                <w:color w:val="000000"/>
                <w:szCs w:val="21"/>
                <w:highlight w:val="none"/>
              </w:rPr>
            </w:pPr>
            <w:r>
              <w:rPr>
                <w:rFonts w:hint="eastAsia" w:ascii="宋体" w:hAnsi="宋体" w:cs="宋体"/>
                <w:color w:val="000000"/>
                <w:szCs w:val="21"/>
                <w:highlight w:val="none"/>
              </w:rPr>
              <w:t>2.1.3</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笔式注射器的剂量窗口应清晰、无不良激光蚀刻</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无碎片；棱镜应无扭曲、无划痕；剂量数目应可读；棱镜上应有指示线。</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2.2 剂量准确度</w:t>
            </w:r>
          </w:p>
          <w:p>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2.2.1 对0.01mL的设定剂量（Vmin）M1≤0.02mL,N1≥0mL</w:t>
            </w:r>
            <w:r>
              <w:rPr>
                <w:rFonts w:hint="eastAsia" w:ascii="宋体" w:hAnsi="宋体" w:cs="宋体"/>
                <w:color w:val="000000"/>
                <w:szCs w:val="21"/>
                <w:highlight w:val="none"/>
                <w:lang w:eastAsia="zh-CN"/>
              </w:rPr>
              <w:t>。</w:t>
            </w:r>
          </w:p>
          <w:p>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2.2.2 对0.30mL的设定剂量（Vmid）M2≤0.315mL,N2≥0.285mL</w:t>
            </w:r>
            <w:r>
              <w:rPr>
                <w:rFonts w:hint="eastAsia" w:ascii="宋体" w:hAnsi="宋体" w:cs="宋体"/>
                <w:color w:val="000000"/>
                <w:szCs w:val="21"/>
                <w:highlight w:val="none"/>
                <w:lang w:eastAsia="zh-CN"/>
              </w:rPr>
              <w:t>。</w:t>
            </w:r>
          </w:p>
          <w:p>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2.2.3 对0.60mL的设定剂量（Vmax）M3≤0.63mL,N3≥0.57mL</w:t>
            </w:r>
            <w:r>
              <w:rPr>
                <w:rFonts w:hint="eastAsia" w:ascii="宋体" w:hAnsi="宋体" w:cs="宋体"/>
                <w:color w:val="000000"/>
                <w:szCs w:val="21"/>
                <w:highlight w:val="none"/>
                <w:lang w:eastAsia="zh-CN"/>
              </w:rPr>
              <w:t>。</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2.3 推动力</w:t>
            </w:r>
          </w:p>
          <w:p>
            <w:pPr>
              <w:rPr>
                <w:rFonts w:hint="eastAsia" w:ascii="宋体" w:hAnsi="宋体" w:cs="宋体"/>
                <w:color w:val="000000"/>
                <w:szCs w:val="21"/>
                <w:highlight w:val="none"/>
              </w:rPr>
            </w:pPr>
            <w:r>
              <w:rPr>
                <w:rFonts w:hint="eastAsia" w:ascii="宋体" w:hAnsi="宋体" w:cs="宋体"/>
                <w:color w:val="000000"/>
                <w:szCs w:val="21"/>
                <w:highlight w:val="none"/>
              </w:rPr>
              <w:t>剂量为0.28mL时，笔式注射器的推动力F应满足：0.455N≤F≤35.6N。</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2.4 螺旋杆</w:t>
            </w:r>
          </w:p>
          <w:p>
            <w:pPr>
              <w:rPr>
                <w:rFonts w:hint="eastAsia" w:ascii="宋体" w:hAnsi="宋体" w:cs="宋体"/>
                <w:color w:val="000000"/>
                <w:szCs w:val="21"/>
                <w:highlight w:val="none"/>
              </w:rPr>
            </w:pPr>
            <w:r>
              <w:rPr>
                <w:rFonts w:hint="eastAsia" w:ascii="宋体" w:hAnsi="宋体" w:cs="宋体"/>
                <w:color w:val="000000"/>
                <w:szCs w:val="21"/>
                <w:highlight w:val="none"/>
              </w:rPr>
              <w:t>笔式注射器的螺旋杆应保证在更换转芯时能够国撤，且至少能保证300单位的注射剂量。（300单位为一支笔芯的最大装量）</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2.5 剂量调节栓</w:t>
            </w:r>
          </w:p>
          <w:p>
            <w:pPr>
              <w:rPr>
                <w:rFonts w:hint="eastAsia" w:ascii="宋体" w:hAnsi="宋体" w:cs="宋体"/>
                <w:color w:val="000000"/>
                <w:szCs w:val="21"/>
                <w:highlight w:val="none"/>
              </w:rPr>
            </w:pPr>
            <w:r>
              <w:rPr>
                <w:rFonts w:hint="eastAsia" w:ascii="宋体" w:hAnsi="宋体" w:cs="宋体"/>
                <w:color w:val="000000"/>
                <w:szCs w:val="21"/>
                <w:highlight w:val="none"/>
              </w:rPr>
              <w:t>在30单位和60单位时，剂量数目应与棱镜中的划线对齐。</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2.6 剂量窗口</w:t>
            </w:r>
          </w:p>
          <w:p>
            <w:pPr>
              <w:rPr>
                <w:rFonts w:hint="eastAsia" w:ascii="宋体" w:hAnsi="宋体" w:cs="宋体"/>
                <w:color w:val="000000"/>
                <w:szCs w:val="21"/>
                <w:highlight w:val="none"/>
              </w:rPr>
            </w:pPr>
            <w:r>
              <w:rPr>
                <w:rFonts w:hint="eastAsia" w:ascii="宋体" w:hAnsi="宋体" w:cs="宋体"/>
                <w:color w:val="000000"/>
                <w:szCs w:val="21"/>
                <w:highlight w:val="none"/>
              </w:rPr>
              <w:t>当注射完毕时，剂量窗口的显示应能回零。</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3</w:t>
            </w:r>
            <w:r>
              <w:rPr>
                <w:rFonts w:hint="eastAsia" w:ascii="宋体" w:hAnsi="宋体" w:cs="宋体"/>
                <w:b/>
                <w:bCs/>
                <w:color w:val="000000"/>
                <w:szCs w:val="21"/>
                <w:highlight w:val="none"/>
                <w:lang w:val="en-US" w:eastAsia="zh-CN"/>
              </w:rPr>
              <w:t>.</w:t>
            </w:r>
            <w:r>
              <w:rPr>
                <w:rFonts w:hint="eastAsia" w:ascii="宋体" w:hAnsi="宋体" w:cs="宋体"/>
                <w:b/>
                <w:bCs/>
                <w:color w:val="000000"/>
                <w:szCs w:val="21"/>
                <w:highlight w:val="none"/>
              </w:rPr>
              <w:t>包装、贮存</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3.1 包装</w:t>
            </w:r>
          </w:p>
          <w:p>
            <w:pPr>
              <w:rPr>
                <w:rFonts w:hint="eastAsia" w:ascii="宋体" w:hAnsi="宋体" w:cs="宋体"/>
                <w:color w:val="000000"/>
                <w:szCs w:val="21"/>
                <w:highlight w:val="none"/>
              </w:rPr>
            </w:pPr>
            <w:r>
              <w:rPr>
                <w:rFonts w:hint="eastAsia" w:ascii="宋体" w:hAnsi="宋体" w:cs="宋体"/>
                <w:color w:val="000000"/>
                <w:szCs w:val="21"/>
                <w:highlight w:val="none"/>
              </w:rPr>
              <w:t>笔式注射器包装盒材料为丙烯腈-丁二烯-苯乙烯塑料。</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3.2 贮存</w:t>
            </w:r>
          </w:p>
          <w:p>
            <w:pPr>
              <w:rPr>
                <w:rFonts w:hint="eastAsia" w:ascii="宋体" w:hAnsi="宋体" w:cs="宋体"/>
                <w:color w:val="000000"/>
                <w:szCs w:val="21"/>
                <w:highlight w:val="none"/>
              </w:rPr>
            </w:pPr>
            <w:r>
              <w:rPr>
                <w:rFonts w:hint="eastAsia" w:ascii="宋体" w:hAnsi="宋体" w:cs="宋体"/>
                <w:color w:val="000000"/>
                <w:szCs w:val="21"/>
                <w:highlight w:val="none"/>
              </w:rPr>
              <w:t>包装后的笔式注射器应贮存在温度为-10℃～40℃，相对湿度不大于80％，无腐蚀气体和通风良好的室内。</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4</w:t>
            </w:r>
            <w:r>
              <w:rPr>
                <w:rFonts w:hint="eastAsia" w:ascii="宋体" w:hAnsi="宋体" w:cs="宋体"/>
                <w:b/>
                <w:bCs/>
                <w:color w:val="000000"/>
                <w:szCs w:val="21"/>
                <w:highlight w:val="none"/>
                <w:lang w:val="en-US" w:eastAsia="zh-CN"/>
              </w:rPr>
              <w:t>.有</w:t>
            </w:r>
            <w:r>
              <w:rPr>
                <w:rFonts w:hint="eastAsia" w:ascii="宋体" w:hAnsi="宋体" w:cs="宋体"/>
                <w:b/>
                <w:bCs/>
                <w:color w:val="000000"/>
                <w:szCs w:val="21"/>
                <w:highlight w:val="none"/>
              </w:rPr>
              <w:t>效期</w:t>
            </w:r>
          </w:p>
          <w:p>
            <w:pPr>
              <w:rPr>
                <w:rFonts w:hint="eastAsia" w:ascii="宋体" w:hAnsi="宋体" w:eastAsia="宋体" w:cs="宋体"/>
                <w:color w:val="000000"/>
                <w:kern w:val="0"/>
                <w:sz w:val="21"/>
                <w:szCs w:val="21"/>
                <w:highlight w:val="none"/>
                <w:lang w:eastAsia="zh-CN"/>
              </w:rPr>
            </w:pPr>
            <w:r>
              <w:rPr>
                <w:rFonts w:hint="eastAsia" w:ascii="宋体" w:hAnsi="宋体" w:cs="宋体"/>
                <w:color w:val="000000"/>
                <w:szCs w:val="21"/>
                <w:highlight w:val="none"/>
              </w:rPr>
              <w:t>首次开启使用应在包装盒标注的有效期前，在首次开始使用后可以用3年。</w:t>
            </w:r>
          </w:p>
        </w:tc>
        <w:tc>
          <w:tcPr>
            <w:tcW w:w="650" w:type="pct"/>
            <w:vAlign w:val="center"/>
          </w:tcPr>
          <w:p>
            <w:pPr>
              <w:pStyle w:val="4"/>
              <w:widowControl/>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400</w:t>
            </w:r>
          </w:p>
        </w:tc>
        <w:tc>
          <w:tcPr>
            <w:tcW w:w="759" w:type="pct"/>
            <w:vAlign w:val="center"/>
          </w:tcPr>
          <w:p>
            <w:pPr>
              <w:pStyle w:val="4"/>
              <w:widowControl/>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5"/>
            <w:vAlign w:val="center"/>
          </w:tcPr>
          <w:p>
            <w:pPr>
              <w:shd w:val="clea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投标人的投标文件必须标明所投货物的品牌与参数，保证原厂正品供货，提供相关资料等</w:t>
            </w:r>
            <w:r>
              <w:rPr>
                <w:rFonts w:hint="eastAsia" w:ascii="宋体" w:hAnsi="宋体" w:cs="宋体"/>
                <w:sz w:val="21"/>
                <w:szCs w:val="21"/>
                <w:highlight w:val="none"/>
                <w:lang w:eastAsia="zh-CN"/>
              </w:rPr>
              <w:t>。</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本项目一次性规划，分步实施；本项目耗材进入招标人SPD管理。服务期内如遇国家、省医保带量采购等相关政策调整，按国家、省医保带量采购等相关政策执行</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供货期限：合同签订后2年</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投标人须承诺：</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（1）中标产品如有两票制要求则须执行两票制相关要求</w:t>
            </w:r>
            <w:r>
              <w:rPr>
                <w:rFonts w:hint="eastAsia" w:ascii="宋体" w:hAnsi="宋体" w:cs="宋体"/>
                <w:sz w:val="21"/>
                <w:szCs w:val="21"/>
                <w:highlight w:val="none"/>
                <w:lang w:eastAsia="zh-CN"/>
              </w:rPr>
              <w:t>；</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（2）中标产品如安徽省医药集中采购中心有相关要求，则须执行安徽省医药集中采购中心相关要求。本项须提供承诺函加盖投标人公章</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中标人供货价格计算方式如下：单价最高限价×中标费率=单价供货价格</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两年预估使用量仅代表医院过去2年使用估量，仅供投标人报价时参考。</w:t>
            </w:r>
          </w:p>
          <w:p>
            <w:pPr>
              <w:spacing w:line="440" w:lineRule="exact"/>
              <w:ind w:left="420" w:leftChars="200"/>
              <w:jc w:val="left"/>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t>本次采购最高投标费率：100%</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三、质量要求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提供的货物必须是全新、标识清楚、符合国家规定的质量标准或行业现行标准的要求。没有国家标准和行业标准的，应达到经主管部门批准的企业现行标准要求，符合甲方招标文件和乙方投标文件所要求的技术标准。杜绝证照不全、假冒、伪劣、过期、失效、淘汰或不合格的产品进入医院，否则，乙方承担由此造成的一切后果。</w:t>
      </w:r>
    </w:p>
    <w:p>
      <w:pPr>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乙方提供的产品，每个批次须提供该批次同批号产品检验报告。</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保证投标产品的质量，有效期的产品必须留有至少80%的有效期。</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保证是原产地生产的原装产品，否则视为假冒伪劣</w:t>
      </w:r>
      <w:r>
        <w:rPr>
          <w:rFonts w:ascii="宋体" w:hAnsi="宋体" w:cs="宋体"/>
          <w:color w:val="auto"/>
          <w:szCs w:val="21"/>
          <w:highlight w:val="none"/>
        </w:rPr>
        <w:t>产品。</w:t>
      </w:r>
    </w:p>
    <w:p>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四、供货及售后要求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3.中标人所投的品牌货物在供货或使用过程中出现质量和使用问题，招标人有权要求更换，直至招标人满意，且不再另行支付任何费用。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4.按招标人实际需求进行供货，中标人须无条件满足招标人需求，确保供货质量并及时供货。</w:t>
      </w:r>
    </w:p>
    <w:p>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五、验收</w:t>
      </w:r>
    </w:p>
    <w:p>
      <w:pPr>
        <w:snapToGrid w:val="0"/>
        <w:spacing w:line="440" w:lineRule="exact"/>
        <w:ind w:firstLine="420" w:firstLineChars="200"/>
        <w:rPr>
          <w:rFonts w:ascii="宋体" w:hAnsi="宋体" w:cs="宋体"/>
          <w:b/>
          <w:bCs/>
          <w:snapToGrid w:val="0"/>
          <w:color w:val="auto"/>
          <w:szCs w:val="21"/>
          <w:highlight w:val="none"/>
        </w:rPr>
      </w:pPr>
      <w:r>
        <w:rPr>
          <w:rFonts w:hint="eastAsia" w:ascii="宋体" w:hAnsi="宋体" w:cs="宋体"/>
          <w:color w:val="auto"/>
          <w:szCs w:val="21"/>
          <w:highlight w:val="none"/>
        </w:rPr>
        <w:t>验收时招标人和中标人双方共同实施验收工作，验收合格后，结果和验收报告经双方确认后生效。</w:t>
      </w:r>
      <w:r>
        <w:rPr>
          <w:rFonts w:hint="eastAsia" w:ascii="宋体" w:hAnsi="宋体" w:cs="宋体"/>
          <w:color w:val="auto"/>
          <w:szCs w:val="21"/>
          <w:highlight w:val="none"/>
        </w:rPr>
        <w:br w:type="textWrapping"/>
      </w:r>
      <w:r>
        <w:rPr>
          <w:rFonts w:hint="eastAsia" w:ascii="宋体" w:hAnsi="宋体" w:cs="宋体"/>
          <w:color w:val="auto"/>
          <w:szCs w:val="21"/>
          <w:highlight w:val="none"/>
          <w:lang w:val="en-US" w:eastAsia="zh-CN"/>
        </w:rPr>
        <w:t xml:space="preserve">    </w:t>
      </w:r>
      <w:r>
        <w:rPr>
          <w:rFonts w:hint="eastAsia" w:ascii="宋体" w:hAnsi="宋体" w:cs="宋体"/>
          <w:b/>
          <w:bCs/>
          <w:snapToGrid w:val="0"/>
          <w:color w:val="auto"/>
          <w:szCs w:val="21"/>
          <w:highlight w:val="none"/>
        </w:rPr>
        <w:t>六、报价要求</w:t>
      </w:r>
    </w:p>
    <w:p>
      <w:pPr>
        <w:spacing w:line="440" w:lineRule="exact"/>
        <w:ind w:firstLine="420" w:firstLineChars="200"/>
        <w:rPr>
          <w:rFonts w:ascii="宋体" w:hAnsi="宋体" w:cs="宋体"/>
          <w:color w:val="auto"/>
          <w:szCs w:val="21"/>
          <w:highlight w:val="none"/>
        </w:rPr>
      </w:pPr>
      <w:r>
        <w:rPr>
          <w:rFonts w:hint="eastAsia" w:ascii="宋体" w:hAnsi="宋体" w:cs="宋体"/>
          <w:snapToGrid w:val="0"/>
          <w:color w:val="auto"/>
          <w:szCs w:val="21"/>
          <w:highlight w:val="none"/>
        </w:rPr>
        <w:t>投标人按</w:t>
      </w:r>
      <w:r>
        <w:rPr>
          <w:rFonts w:hint="eastAsia"/>
          <w:color w:val="auto"/>
          <w:szCs w:val="21"/>
          <w:highlight w:val="none"/>
        </w:rPr>
        <w:t>费率</w:t>
      </w:r>
      <w:r>
        <w:rPr>
          <w:rFonts w:hint="eastAsia" w:ascii="宋体" w:hAnsi="宋体" w:cs="宋体"/>
          <w:snapToGrid w:val="0"/>
          <w:color w:val="auto"/>
          <w:szCs w:val="21"/>
          <w:highlight w:val="none"/>
        </w:rPr>
        <w:t>进行报价，其</w:t>
      </w:r>
      <w:r>
        <w:rPr>
          <w:rFonts w:hint="eastAsia" w:ascii="宋体" w:hAnsi="宋体"/>
          <w:color w:val="auto"/>
          <w:szCs w:val="21"/>
          <w:highlight w:val="none"/>
        </w:rPr>
        <w:t>投标费率不得高于最高投标费率</w:t>
      </w:r>
      <w:r>
        <w:rPr>
          <w:rFonts w:hint="eastAsia"/>
          <w:color w:val="auto"/>
          <w:szCs w:val="21"/>
          <w:highlight w:val="none"/>
        </w:rPr>
        <w:t>。</w:t>
      </w:r>
      <w:r>
        <w:rPr>
          <w:rFonts w:hint="eastAsia" w:ascii="宋体" w:hAnsi="宋体" w:cs="宋体"/>
          <w:color w:val="auto"/>
          <w:szCs w:val="21"/>
          <w:highlight w:val="none"/>
        </w:rPr>
        <w:t>报价应包含产品费用、</w:t>
      </w:r>
      <w:r>
        <w:rPr>
          <w:rFonts w:ascii="宋体" w:hAnsi="宋体" w:cs="宋体"/>
          <w:color w:val="auto"/>
          <w:szCs w:val="21"/>
          <w:highlight w:val="none"/>
        </w:rPr>
        <w:t>运费(多次分批量送货</w:t>
      </w:r>
      <w:r>
        <w:rPr>
          <w:rFonts w:hint="eastAsia" w:ascii="宋体" w:hAnsi="宋体" w:cs="宋体"/>
          <w:color w:val="auto"/>
          <w:szCs w:val="21"/>
          <w:highlight w:val="none"/>
        </w:rPr>
        <w:t>，含装卸力资）、</w:t>
      </w:r>
      <w:r>
        <w:rPr>
          <w:rFonts w:ascii="宋体" w:hAnsi="宋体" w:cs="宋体"/>
          <w:color w:val="auto"/>
          <w:szCs w:val="21"/>
          <w:highlight w:val="none"/>
        </w:rPr>
        <w:t>税费</w:t>
      </w:r>
      <w:r>
        <w:rPr>
          <w:rFonts w:hint="eastAsia" w:ascii="宋体" w:hAnsi="宋体" w:cs="宋体"/>
          <w:color w:val="auto"/>
          <w:szCs w:val="21"/>
          <w:highlight w:val="none"/>
        </w:rPr>
        <w:t>、</w:t>
      </w:r>
      <w:r>
        <w:rPr>
          <w:rFonts w:hint="eastAsia" w:ascii="宋体" w:hAnsi="宋体" w:cs="宋体"/>
          <w:color w:val="auto"/>
          <w:szCs w:val="21"/>
          <w:highlight w:val="none"/>
          <w:lang w:val="zh-CN"/>
        </w:rPr>
        <w:t>检验</w:t>
      </w:r>
      <w:r>
        <w:rPr>
          <w:rFonts w:hint="eastAsia" w:ascii="宋体" w:hAnsi="宋体" w:cs="宋体"/>
          <w:color w:val="auto"/>
          <w:szCs w:val="21"/>
          <w:highlight w:val="none"/>
        </w:rPr>
        <w:t>费</w:t>
      </w:r>
      <w:r>
        <w:rPr>
          <w:rFonts w:hint="eastAsia" w:ascii="宋体" w:hAnsi="宋体" w:cs="宋体"/>
          <w:color w:val="auto"/>
          <w:szCs w:val="21"/>
          <w:highlight w:val="none"/>
          <w:lang w:val="zh-CN"/>
        </w:rPr>
        <w:t>、</w:t>
      </w:r>
      <w:r>
        <w:rPr>
          <w:rFonts w:ascii="宋体" w:hAnsi="宋体" w:cs="宋体"/>
          <w:color w:val="auto"/>
          <w:szCs w:val="21"/>
          <w:highlight w:val="none"/>
        </w:rPr>
        <w:t>保险费、</w:t>
      </w:r>
      <w:r>
        <w:rPr>
          <w:rFonts w:hint="eastAsia" w:ascii="宋体" w:hAnsi="宋体" w:cs="宋体"/>
          <w:color w:val="auto"/>
          <w:szCs w:val="21"/>
          <w:highlight w:val="none"/>
        </w:rPr>
        <w:t>仓储费、包装费、售后服务等为完成本项目所必须的其他辅助工作的相关费用等所有费用。投标人应结合采购需求及自身情况合理报价，一旦中标，中标费率后期将不作任何调整，其结算价为单价最高限价*实际使用量*中标费率。</w:t>
      </w:r>
    </w:p>
    <w:p>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七、付款方式</w:t>
      </w:r>
    </w:p>
    <w:p>
      <w:pPr>
        <w:widowControl/>
        <w:spacing w:line="440" w:lineRule="exact"/>
        <w:ind w:firstLine="420" w:firstLineChars="200"/>
        <w:rPr>
          <w:color w:val="auto"/>
          <w:highlight w:val="none"/>
        </w:rPr>
      </w:pPr>
      <w:r>
        <w:rPr>
          <w:rFonts w:hint="eastAsia" w:ascii="宋体" w:hAnsi="宋体" w:cs="宋体"/>
          <w:color w:val="auto"/>
          <w:szCs w:val="21"/>
          <w:highlight w:val="none"/>
        </w:rPr>
        <w:t>本项目一次性规划，分步实施，按实结算，货到验收合格、收到正规发票后6个月内付款。</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52570A6C"/>
    <w:rsid w:val="5257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2023-04-26T01:06:00Z</dcterms:created>
  <dc:creator>兔子爱上了窝边草</dc:creator>
  <cp:lastModifiedBy>兔子爱上了窝边草</cp:lastModifiedBy>
  <dcterms:modified xsi:type="dcterms:W3CDTF">2023-04-26T01:07:53Z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C20B612086554EBFA843F02C3ECC9389_11</vt:lpwstr>
  </property>
</Properties>
</file>