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b/>
          <w:bCs/>
          <w:color w:val="auto"/>
          <w:highlight w:val="none"/>
        </w:rPr>
      </w:pPr>
      <w:bookmarkStart w:id="0" w:name="_Toc31958"/>
      <w:bookmarkStart w:id="1" w:name="_Toc2096"/>
      <w:r>
        <w:rPr>
          <w:rFonts w:hint="eastAsia"/>
          <w:b/>
          <w:bCs/>
          <w:color w:val="auto"/>
          <w:highlight w:val="none"/>
        </w:rPr>
        <w:t>货物需求及技术要求</w:t>
      </w:r>
      <w:bookmarkEnd w:id="0"/>
      <w:bookmarkEnd w:id="1"/>
    </w:p>
    <w:p>
      <w:pPr>
        <w:widowControl/>
        <w:spacing w:line="360" w:lineRule="auto"/>
        <w:ind w:firstLine="430"/>
        <w:jc w:val="left"/>
        <w:rPr>
          <w:rFonts w:ascii="宋体" w:hAnsi="宋体"/>
          <w:b w:val="0"/>
          <w:bCs w:val="0"/>
          <w:color w:val="auto"/>
          <w:szCs w:val="21"/>
          <w:highlight w:val="none"/>
        </w:rPr>
      </w:pPr>
      <w:bookmarkStart w:id="2" w:name="_Toc7241"/>
      <w:bookmarkStart w:id="3" w:name="_Toc24523"/>
      <w:bookmarkStart w:id="4" w:name="_Toc12315"/>
      <w:r>
        <w:rPr>
          <w:rFonts w:hint="eastAsia" w:ascii="宋体" w:hAnsi="宋体"/>
          <w:b w:val="0"/>
          <w:bCs w:val="0"/>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w:t>
      </w:r>
      <w:r>
        <w:rPr>
          <w:rFonts w:hint="eastAsia" w:ascii="宋体" w:hAnsi="宋体"/>
          <w:b w:val="0"/>
          <w:bCs w:val="0"/>
          <w:color w:val="auto"/>
          <w:szCs w:val="21"/>
          <w:highlight w:val="none"/>
          <w:lang w:eastAsia="zh-CN"/>
        </w:rPr>
        <w:t>采购文件</w:t>
      </w:r>
      <w:r>
        <w:rPr>
          <w:rFonts w:hint="eastAsia" w:ascii="宋体" w:hAnsi="宋体"/>
          <w:b w:val="0"/>
          <w:bCs w:val="0"/>
          <w:color w:val="auto"/>
          <w:szCs w:val="21"/>
          <w:highlight w:val="none"/>
        </w:rPr>
        <w:t>的相关要求，并说明调整理由</w:t>
      </w:r>
      <w:bookmarkStart w:id="5" w:name="_GoBack"/>
      <w:bookmarkEnd w:id="5"/>
      <w:r>
        <w:rPr>
          <w:rFonts w:hint="eastAsia" w:ascii="宋体" w:hAnsi="宋体"/>
          <w:b w:val="0"/>
          <w:bCs w:val="0"/>
          <w:color w:val="auto"/>
          <w:szCs w:val="21"/>
          <w:highlight w:val="none"/>
        </w:rPr>
        <w:t>，且该调整须经评委会审核认可。</w:t>
      </w:r>
    </w:p>
    <w:p>
      <w:pPr>
        <w:widowControl/>
        <w:numPr>
          <w:ilvl w:val="0"/>
          <w:numId w:val="1"/>
        </w:numPr>
        <w:spacing w:line="360" w:lineRule="auto"/>
        <w:ind w:firstLine="43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需求</w:t>
      </w:r>
    </w:p>
    <w:tbl>
      <w:tblPr>
        <w:tblStyle w:val="6"/>
        <w:tblW w:w="9651" w:type="dxa"/>
        <w:jc w:val="center"/>
        <w:tblLayout w:type="fixed"/>
        <w:tblCellMar>
          <w:top w:w="0" w:type="dxa"/>
          <w:left w:w="108" w:type="dxa"/>
          <w:bottom w:w="0" w:type="dxa"/>
          <w:right w:w="108" w:type="dxa"/>
        </w:tblCellMar>
      </w:tblPr>
      <w:tblGrid>
        <w:gridCol w:w="1302"/>
        <w:gridCol w:w="2762"/>
        <w:gridCol w:w="2700"/>
        <w:gridCol w:w="2887"/>
      </w:tblGrid>
      <w:tr>
        <w:tblPrEx>
          <w:tblCellMar>
            <w:top w:w="0" w:type="dxa"/>
            <w:left w:w="108" w:type="dxa"/>
            <w:bottom w:w="0" w:type="dxa"/>
            <w:right w:w="108" w:type="dxa"/>
          </w:tblCellMar>
        </w:tblPrEx>
        <w:trPr>
          <w:trHeight w:val="90"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序号</w:t>
            </w:r>
          </w:p>
        </w:tc>
        <w:tc>
          <w:tcPr>
            <w:tcW w:w="2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数量</w:t>
            </w:r>
          </w:p>
        </w:tc>
        <w:tc>
          <w:tcPr>
            <w:tcW w:w="2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备注</w:t>
            </w:r>
          </w:p>
        </w:tc>
      </w:tr>
      <w:tr>
        <w:tblPrEx>
          <w:tblCellMar>
            <w:top w:w="0" w:type="dxa"/>
            <w:left w:w="108" w:type="dxa"/>
            <w:bottom w:w="0" w:type="dxa"/>
            <w:right w:w="108" w:type="dxa"/>
          </w:tblCellMar>
        </w:tblPrEx>
        <w:trPr>
          <w:trHeight w:val="90"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0"/>
              <w:jc w:val="left"/>
              <w:rPr>
                <w:rFonts w:hint="eastAsia" w:ascii="宋体" w:hAnsi="宋体"/>
                <w:b w:val="0"/>
                <w:bCs w:val="0"/>
                <w:color w:val="auto"/>
                <w:szCs w:val="21"/>
                <w:highlight w:val="none"/>
              </w:rPr>
            </w:pPr>
            <w:r>
              <w:rPr>
                <w:rFonts w:hint="eastAsia" w:ascii="宋体" w:hAnsi="宋体"/>
                <w:b w:val="0"/>
                <w:bCs w:val="0"/>
                <w:color w:val="auto"/>
                <w:szCs w:val="21"/>
                <w:highlight w:val="none"/>
              </w:rPr>
              <w:t>1</w:t>
            </w:r>
          </w:p>
        </w:tc>
        <w:tc>
          <w:tcPr>
            <w:tcW w:w="2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0"/>
              <w:jc w:val="left"/>
              <w:rPr>
                <w:rFonts w:hint="eastAsia" w:ascii="宋体" w:hAnsi="宋体"/>
                <w:b w:val="0"/>
                <w:bCs w:val="0"/>
                <w:color w:val="auto"/>
                <w:szCs w:val="21"/>
                <w:highlight w:val="none"/>
              </w:rPr>
            </w:pPr>
            <w:r>
              <w:rPr>
                <w:rFonts w:hint="eastAsia" w:ascii="宋体" w:hAnsi="宋体" w:eastAsia="宋体" w:cs="Times New Roman"/>
                <w:b w:val="0"/>
                <w:bCs w:val="0"/>
                <w:color w:val="auto"/>
                <w:kern w:val="2"/>
                <w:sz w:val="21"/>
                <w:szCs w:val="21"/>
                <w:highlight w:val="none"/>
                <w:lang w:val="en-US" w:eastAsia="zh-CN" w:bidi="ar-SA"/>
              </w:rPr>
              <w:t>视频气管插管镜</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056" w:firstLineChars="503"/>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1台</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宋体" w:hAnsi="宋体"/>
                <w:b w:val="0"/>
                <w:bCs w:val="0"/>
                <w:color w:val="auto"/>
                <w:szCs w:val="21"/>
                <w:highlight w:val="none"/>
                <w:lang w:val="en-US" w:eastAsia="zh-CN"/>
              </w:rPr>
            </w:pPr>
          </w:p>
        </w:tc>
      </w:tr>
      <w:tr>
        <w:tblPrEx>
          <w:tblCellMar>
            <w:top w:w="0" w:type="dxa"/>
            <w:left w:w="108" w:type="dxa"/>
            <w:bottom w:w="0" w:type="dxa"/>
            <w:right w:w="108" w:type="dxa"/>
          </w:tblCellMar>
        </w:tblPrEx>
        <w:trPr>
          <w:trHeight w:val="90" w:hRule="atLeast"/>
          <w:jc w:val="center"/>
        </w:trPr>
        <w:tc>
          <w:tcPr>
            <w:tcW w:w="9651" w:type="dxa"/>
            <w:gridSpan w:val="4"/>
            <w:tcBorders>
              <w:top w:val="single" w:color="auto" w:sz="4" w:space="0"/>
              <w:left w:val="single" w:color="auto" w:sz="4" w:space="0"/>
              <w:bottom w:val="single" w:color="auto" w:sz="4" w:space="0"/>
              <w:right w:val="single" w:color="auto" w:sz="4" w:space="0"/>
            </w:tcBorders>
            <w:vAlign w:val="center"/>
          </w:tcPr>
          <w:p>
            <w:pPr>
              <w:pStyle w:val="4"/>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rPr>
              <w:t>标</w:t>
            </w:r>
            <w:r>
              <w:rPr>
                <w:rFonts w:hint="eastAsia"/>
                <w:color w:val="auto"/>
                <w:highlight w:val="none"/>
              </w:rPr>
              <w:t>★</w:t>
            </w:r>
            <w:r>
              <w:rPr>
                <w:rFonts w:hint="eastAsia" w:ascii="宋体" w:hAnsi="宋体"/>
                <w:b w:val="0"/>
                <w:bCs w:val="0"/>
                <w:color w:val="auto"/>
                <w:szCs w:val="21"/>
                <w:highlight w:val="none"/>
              </w:rPr>
              <w:t>项</w:t>
            </w:r>
            <w:r>
              <w:rPr>
                <w:rFonts w:hint="eastAsia" w:ascii="宋体" w:hAnsi="宋体"/>
                <w:b w:val="0"/>
                <w:bCs w:val="0"/>
                <w:color w:val="auto"/>
                <w:szCs w:val="21"/>
                <w:highlight w:val="none"/>
                <w:lang w:eastAsia="zh-CN"/>
              </w:rPr>
              <w:t>为实质性要求，必须全部满足。以投标文件中提供的证明材料作为评审依据。</w:t>
            </w:r>
            <w:r>
              <w:rPr>
                <w:rFonts w:hint="eastAsia" w:ascii="宋体" w:hAnsi="宋体"/>
                <w:b w:val="0"/>
                <w:bCs w:val="0"/>
                <w:color w:val="auto"/>
                <w:szCs w:val="21"/>
                <w:highlight w:val="none"/>
                <w:lang w:val="en-US" w:eastAsia="zh-CN"/>
              </w:rPr>
              <w:t>采购</w:t>
            </w:r>
            <w:r>
              <w:rPr>
                <w:rFonts w:hint="eastAsia" w:ascii="宋体" w:hAnsi="宋体"/>
                <w:b w:val="0"/>
                <w:bCs w:val="0"/>
                <w:color w:val="auto"/>
                <w:szCs w:val="21"/>
                <w:highlight w:val="none"/>
                <w:lang w:eastAsia="zh-CN"/>
              </w:rPr>
              <w:t>文件有明确要求的，按</w:t>
            </w:r>
            <w:r>
              <w:rPr>
                <w:rFonts w:hint="eastAsia" w:ascii="宋体" w:hAnsi="宋体"/>
                <w:b w:val="0"/>
                <w:bCs w:val="0"/>
                <w:color w:val="auto"/>
                <w:szCs w:val="21"/>
                <w:highlight w:val="none"/>
                <w:lang w:val="en-US" w:eastAsia="zh-CN"/>
              </w:rPr>
              <w:t>采购</w:t>
            </w:r>
            <w:r>
              <w:rPr>
                <w:rFonts w:hint="eastAsia" w:ascii="宋体" w:hAnsi="宋体"/>
                <w:b w:val="0"/>
                <w:bCs w:val="0"/>
                <w:color w:val="auto"/>
                <w:szCs w:val="21"/>
                <w:highlight w:val="none"/>
                <w:lang w:eastAsia="zh-CN"/>
              </w:rPr>
              <w:t>文件要求提供，无要求的必须提供以下证明材料之一（</w:t>
            </w:r>
            <w:r>
              <w:rPr>
                <w:rFonts w:hint="eastAsia" w:ascii="宋体" w:hAnsi="宋体"/>
                <w:b w:val="0"/>
                <w:bCs w:val="0"/>
                <w:color w:val="auto"/>
                <w:szCs w:val="21"/>
                <w:highlight w:val="none"/>
              </w:rPr>
              <w:t>医疗器械注册证、医疗器械注册登记表、第三方检测报告、产品技术白皮书、产品使用说明书</w:t>
            </w:r>
            <w:r>
              <w:rPr>
                <w:rFonts w:hint="eastAsia" w:ascii="宋体" w:hAnsi="宋体"/>
                <w:b w:val="0"/>
                <w:bCs w:val="0"/>
                <w:color w:val="auto"/>
                <w:szCs w:val="21"/>
                <w:highlight w:val="none"/>
                <w:lang w:eastAsia="zh-CN"/>
              </w:rPr>
              <w:t>）</w:t>
            </w:r>
          </w:p>
        </w:tc>
      </w:tr>
    </w:tbl>
    <w:p>
      <w:pPr>
        <w:widowControl/>
        <w:numPr>
          <w:ilvl w:val="0"/>
          <w:numId w:val="1"/>
        </w:numPr>
        <w:spacing w:line="360" w:lineRule="auto"/>
        <w:ind w:firstLine="430"/>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技术参数</w:t>
      </w:r>
    </w:p>
    <w:bookmarkEnd w:id="2"/>
    <w:bookmarkEnd w:id="3"/>
    <w:bookmarkEnd w:id="4"/>
    <w:p>
      <w:pPr>
        <w:pStyle w:val="5"/>
        <w:spacing w:before="0" w:beforeAutospacing="0" w:after="0" w:afterAutospacing="0" w:line="44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1.操作部（插入管）：</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1.1.成像原理：电子成像技术，工作软管不含导像、导光纤维。</w:t>
      </w:r>
    </w:p>
    <w:p>
      <w:pPr>
        <w:pStyle w:val="5"/>
        <w:spacing w:before="0" w:beforeAutospacing="0" w:after="0" w:afterAutospacing="0" w:line="440" w:lineRule="exact"/>
        <w:jc w:val="both"/>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1.2.软镜插入管外径≤</w:t>
      </w:r>
      <w:r>
        <w:rPr>
          <w:rFonts w:hint="eastAsia"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mm，工作管道内径≥2.6mm。</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1.3.软镜工作软管有效长度</w:t>
      </w:r>
      <w:r>
        <w:rPr>
          <w:rFonts w:hint="eastAsia" w:cs="宋体"/>
          <w:b w:val="0"/>
          <w:bCs w:val="0"/>
          <w:color w:val="auto"/>
          <w:sz w:val="21"/>
          <w:szCs w:val="21"/>
          <w:highlight w:val="none"/>
          <w:lang w:val="en-US" w:eastAsia="zh-CN"/>
        </w:rPr>
        <w:t>≥600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插入管自带有360°刻度标识。</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1.4.视场角≥120°。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1.5.景深：3-200mm。</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1.6.插入管软管前端弯曲角度：向上弯曲</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180°，向下弯曲</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130°，双向弯曲</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310°。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1.7.</w:t>
      </w:r>
      <w:r>
        <w:rPr>
          <w:rFonts w:hint="eastAsia" w:cs="宋体"/>
          <w:b w:val="0"/>
          <w:bCs w:val="0"/>
          <w:color w:val="auto"/>
          <w:sz w:val="21"/>
          <w:szCs w:val="21"/>
          <w:highlight w:val="none"/>
          <w:lang w:val="en-US" w:eastAsia="zh-CN"/>
        </w:rPr>
        <w:t>操作手柄须</w:t>
      </w:r>
      <w:r>
        <w:rPr>
          <w:rFonts w:hint="eastAsia" w:ascii="宋体" w:hAnsi="宋体" w:eastAsia="宋体" w:cs="宋体"/>
          <w:b w:val="0"/>
          <w:bCs w:val="0"/>
          <w:color w:val="auto"/>
          <w:sz w:val="21"/>
          <w:szCs w:val="21"/>
          <w:highlight w:val="none"/>
        </w:rPr>
        <w:t>有</w:t>
      </w:r>
      <w:r>
        <w:rPr>
          <w:rFonts w:hint="eastAsia" w:cs="宋体"/>
          <w:b w:val="0"/>
          <w:bCs w:val="0"/>
          <w:color w:val="auto"/>
          <w:sz w:val="21"/>
          <w:szCs w:val="21"/>
          <w:highlight w:val="none"/>
          <w:lang w:val="en-US" w:eastAsia="zh-CN"/>
        </w:rPr>
        <w:t>多向弯曲调节角度</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同时有角度锁控。</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.具备凸起挡板式吸引阀座一体式防脱设计。</w:t>
      </w:r>
    </w:p>
    <w:p>
      <w:pPr>
        <w:pStyle w:val="5"/>
        <w:spacing w:before="0" w:beforeAutospacing="0" w:after="0" w:afterAutospacing="0" w:line="44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.操作手柄</w:t>
      </w:r>
      <w:r>
        <w:rPr>
          <w:rFonts w:hint="eastAsia" w:cs="宋体"/>
          <w:b w:val="0"/>
          <w:bCs w:val="0"/>
          <w:color w:val="auto"/>
          <w:sz w:val="21"/>
          <w:szCs w:val="21"/>
          <w:highlight w:val="none"/>
          <w:lang w:val="en-US" w:eastAsia="zh-CN"/>
        </w:rPr>
        <w:t>须</w:t>
      </w:r>
      <w:r>
        <w:rPr>
          <w:rFonts w:hint="eastAsia" w:ascii="宋体" w:hAnsi="宋体" w:eastAsia="宋体" w:cs="宋体"/>
          <w:b w:val="0"/>
          <w:bCs w:val="0"/>
          <w:color w:val="auto"/>
          <w:sz w:val="21"/>
          <w:szCs w:val="21"/>
          <w:highlight w:val="none"/>
        </w:rPr>
        <w:t>具有</w:t>
      </w:r>
      <w:r>
        <w:rPr>
          <w:rFonts w:hint="eastAsia" w:cs="宋体"/>
          <w:b w:val="0"/>
          <w:bCs w:val="0"/>
          <w:color w:val="auto"/>
          <w:sz w:val="21"/>
          <w:szCs w:val="21"/>
          <w:highlight w:val="none"/>
          <w:lang w:val="en-US" w:eastAsia="zh-CN"/>
        </w:rPr>
        <w:t>大小屏切换功能、拍照、录像、图像冻结和解冻功能，具备防雾功能，自带LED冷光源，无需预热，即可观察。</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优化与主机的连接方式，避免传统连接方式造成的死机、卡屏</w:t>
      </w:r>
      <w:r>
        <w:rPr>
          <w:rFonts w:hint="eastAsia" w:ascii="宋体" w:hAnsi="宋体" w:eastAsia="宋体" w:cs="宋体"/>
          <w:b w:val="0"/>
          <w:bCs w:val="0"/>
          <w:color w:val="auto"/>
          <w:sz w:val="21"/>
          <w:szCs w:val="21"/>
          <w:highlight w:val="none"/>
        </w:rPr>
        <w:t>。</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.操作部防水等级</w:t>
      </w:r>
      <w:r>
        <w:rPr>
          <w:rFonts w:hint="eastAsia" w:cs="宋体"/>
          <w:b w:val="0"/>
          <w:bCs w:val="0"/>
          <w:color w:val="auto"/>
          <w:sz w:val="21"/>
          <w:szCs w:val="21"/>
          <w:highlight w:val="none"/>
          <w:lang w:val="en-US" w:eastAsia="zh-CN"/>
        </w:rPr>
        <w:t>至少为</w:t>
      </w:r>
      <w:r>
        <w:rPr>
          <w:rFonts w:hint="eastAsia" w:ascii="宋体" w:hAnsi="宋体" w:eastAsia="宋体" w:cs="宋体"/>
          <w:b w:val="0"/>
          <w:bCs w:val="0"/>
          <w:color w:val="auto"/>
          <w:sz w:val="21"/>
          <w:szCs w:val="21"/>
          <w:highlight w:val="none"/>
        </w:rPr>
        <w:t>IPX7，配备防水盖可进行全浸泡消毒</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进行液体、气体消毒灭菌</w:t>
      </w:r>
      <w:r>
        <w:rPr>
          <w:rFonts w:hint="eastAsia" w:ascii="宋体" w:hAnsi="宋体" w:eastAsia="宋体" w:cs="宋体"/>
          <w:b w:val="0"/>
          <w:bCs w:val="0"/>
          <w:color w:val="auto"/>
          <w:sz w:val="21"/>
          <w:szCs w:val="21"/>
          <w:highlight w:val="none"/>
        </w:rPr>
        <w:t>。</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.消毒灭菌无需无需更换配件。</w:t>
      </w:r>
    </w:p>
    <w:p>
      <w:pPr>
        <w:numPr>
          <w:ilvl w:val="0"/>
          <w:numId w:val="0"/>
        </w:numPr>
        <w:spacing w:line="360" w:lineRule="auto"/>
        <w:ind w:leftChars="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4"/>
          <w:highlight w:val="none"/>
          <w:lang w:val="en-US" w:eastAsia="zh-CN"/>
        </w:rPr>
        <w:t>1.1</w:t>
      </w:r>
      <w:r>
        <w:rPr>
          <w:rFonts w:hint="eastAsia" w:ascii="宋体" w:hAnsi="宋体" w:cs="宋体"/>
          <w:color w:val="auto"/>
          <w:sz w:val="21"/>
          <w:szCs w:val="24"/>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color w:val="auto"/>
          <w:sz w:val="21"/>
          <w:szCs w:val="24"/>
          <w:highlight w:val="none"/>
          <w:lang w:val="en-US" w:eastAsia="zh-CN"/>
        </w:rPr>
        <w:t>插入管</w:t>
      </w:r>
      <w:r>
        <w:rPr>
          <w:rFonts w:hint="eastAsia" w:ascii="宋体" w:hAnsi="宋体" w:eastAsia="宋体" w:cs="宋体"/>
          <w:color w:val="auto"/>
          <w:sz w:val="21"/>
          <w:szCs w:val="24"/>
          <w:highlight w:val="none"/>
          <w:lang w:val="en-US" w:eastAsia="zh-CN"/>
        </w:rPr>
        <w:t>可以通过5.5号及以上气管导管。</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2.图像处理器：</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2.1.配备≥</w:t>
      </w:r>
      <w:r>
        <w:rPr>
          <w:rFonts w:hint="eastAsia"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英寸手持式显示屏。</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2.2.显示屏高宽比为1：1，最大视野可达170°。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2.3.电容式触摸屏。</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2.4.高清视频信号输出分辨率</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720×720。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2.5.开机时间≤3秒，一键开机即能使用。</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2.6.通过操作部功能按键即可实现：图像放大缩小，图像冻结，拍照，录像功能（无需触摸屏幕，避免术后消毒问题）。</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2.7.配备有外置存储卡，可以存储图片及视频</w:t>
      </w:r>
      <w:r>
        <w:rPr>
          <w:rFonts w:hint="eastAsia" w:ascii="宋体" w:hAnsi="宋体" w:eastAsia="宋体" w:cs="宋体"/>
          <w:b w:val="0"/>
          <w:bCs w:val="0"/>
          <w:color w:val="auto"/>
          <w:sz w:val="21"/>
          <w:szCs w:val="21"/>
          <w:highlight w:val="none"/>
          <w:lang w:val="en-US" w:eastAsia="zh-CN"/>
        </w:rPr>
        <w:t>,内存≥64G，可存放约80万张内窥镜拍摄图片。</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2.8.本机上可实时回放视频及照片。</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2.9.采用独有的图像自动还原清晰显像算法技术，确保显示清晰还原度。</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2.10.具有白平衡功能，可一键恢复白平衡出厂值，具有开机记忆色彩功能。</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2.11.具有可实时观察与记录功能，且可一键隐藏所有按键功能。有利于临床操作使用。</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2.12.具有</w:t>
      </w:r>
      <w:r>
        <w:rPr>
          <w:rFonts w:hint="eastAsia" w:ascii="宋体" w:hAnsi="宋体" w:eastAsia="宋体" w:cs="宋体"/>
          <w:b w:val="0"/>
          <w:bCs w:val="0"/>
          <w:color w:val="auto"/>
          <w:sz w:val="21"/>
          <w:szCs w:val="21"/>
          <w:highlight w:val="none"/>
          <w:lang w:val="en-US" w:eastAsia="zh-CN"/>
        </w:rPr>
        <w:t>至少</w:t>
      </w:r>
      <w:r>
        <w:rPr>
          <w:rFonts w:hint="eastAsia" w:ascii="宋体" w:hAnsi="宋体" w:eastAsia="宋体" w:cs="宋体"/>
          <w:b w:val="0"/>
          <w:bCs w:val="0"/>
          <w:color w:val="auto"/>
          <w:sz w:val="21"/>
          <w:szCs w:val="21"/>
          <w:highlight w:val="none"/>
        </w:rPr>
        <w:t>2种输出图像形状可选，满足不同操作者的习惯。</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2.13.图像可全屏显示。</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2.14.</w:t>
      </w:r>
      <w:r>
        <w:rPr>
          <w:rFonts w:hint="eastAsia" w:ascii="宋体" w:hAnsi="宋体" w:eastAsia="宋体" w:cs="宋体"/>
          <w:b w:val="0"/>
          <w:bCs w:val="0"/>
          <w:color w:val="auto"/>
          <w:sz w:val="21"/>
          <w:szCs w:val="21"/>
          <w:highlight w:val="none"/>
          <w:lang w:val="en-US" w:eastAsia="zh-CN"/>
        </w:rPr>
        <w:t>亮度调节：</w:t>
      </w:r>
      <w:r>
        <w:rPr>
          <w:rFonts w:hint="eastAsia" w:ascii="宋体" w:hAnsi="宋体" w:eastAsia="宋体" w:cs="宋体"/>
          <w:b w:val="0"/>
          <w:bCs w:val="0"/>
          <w:color w:val="auto"/>
          <w:sz w:val="21"/>
          <w:szCs w:val="21"/>
          <w:highlight w:val="none"/>
        </w:rPr>
        <w:t>三级亮度调节</w:t>
      </w:r>
      <w:r>
        <w:rPr>
          <w:rFonts w:hint="eastAsia" w:ascii="宋体" w:hAnsi="宋体" w:eastAsia="宋体" w:cs="宋体"/>
          <w:b w:val="0"/>
          <w:bCs w:val="0"/>
          <w:color w:val="auto"/>
          <w:sz w:val="21"/>
          <w:szCs w:val="21"/>
          <w:highlight w:val="none"/>
          <w:lang w:eastAsia="zh-CN"/>
        </w:rPr>
        <w:t>，可调节配套使用的电子内窥镜上的LED灯的亮度。</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2.15.具有摄录时间长短提示功能与循环摄录功能及电量智能检测指示标示（用于显示充电电量或适配器连接充电提示）。</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2.16.可进行色彩参数调节，包括对比度、饱和度及亮度。</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2.17.色彩还原性≥4级。</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.采用翻盖式结构可角度调节≥1</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3.供电方式：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（1）电池外置，采用人性化设计，医护人员可在科室自行拆卸，搭配内窥镜使用，电池续航使用时间≥4h。</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（2）配备备用电池。</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（3）采用两种电池装载方式，根据医护人员操作习惯可选择在手柄或图像处理器。</w:t>
      </w:r>
    </w:p>
    <w:p>
      <w:pPr>
        <w:numPr>
          <w:ilvl w:val="0"/>
          <w:numId w:val="0"/>
        </w:numPr>
        <w:spacing w:line="360" w:lineRule="auto"/>
        <w:rPr>
          <w:rFonts w:hint="default" w:ascii="宋体" w:hAnsi="宋体" w:eastAsia="宋体" w:cs="宋体"/>
          <w:b/>
          <w:bCs/>
          <w:color w:val="auto"/>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highlight w:val="none"/>
          <w:lang w:val="en-US" w:eastAsia="zh-CN"/>
        </w:rPr>
        <w:t>软件终身免费升级。提供承诺函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三、质量要求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文件和</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投标文件所要求的技术标准。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保证是原产地生产的原装产品</w:t>
      </w:r>
      <w:r>
        <w:rPr>
          <w:rFonts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lang w:val="en-GB" w:eastAsia="zh-CN"/>
        </w:rPr>
        <w:t>交货地点：</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需求送至指定地点。</w:t>
      </w:r>
    </w:p>
    <w:p>
      <w:pPr>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五、供货、保修及售后要求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1.货物质量:中标人提供的货物必须是全新、原装、合格正品，完全符合国家规定的质量标准和厂方的标准。货物完好，配件齐全。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2.保修及售后服务:依据商品的保修条款及售后服务条款，提供原厂质保，质保期按照国家规定，且</w:t>
      </w:r>
      <w:r>
        <w:rPr>
          <w:rFonts w:hint="eastAsia" w:ascii="宋体" w:hAnsi="宋体" w:cs="宋体"/>
          <w:color w:val="auto"/>
          <w:szCs w:val="21"/>
          <w:highlight w:val="none"/>
          <w:lang w:val="en-US" w:eastAsia="zh-CN"/>
        </w:rPr>
        <w:t>整套治疗台质保</w:t>
      </w:r>
      <w:r>
        <w:rPr>
          <w:rFonts w:hint="eastAsia" w:ascii="宋体" w:hAnsi="宋体" w:cs="宋体"/>
          <w:color w:val="auto"/>
          <w:szCs w:val="21"/>
          <w:highlight w:val="none"/>
        </w:rPr>
        <w:t>不低于</w:t>
      </w:r>
      <w:r>
        <w:rPr>
          <w:rFonts w:hint="eastAsia" w:ascii="宋体" w:hAnsi="宋体" w:cs="宋体"/>
          <w:color w:val="auto"/>
          <w:szCs w:val="21"/>
          <w:highlight w:val="none"/>
          <w:lang w:val="en-US" w:eastAsia="zh-CN"/>
        </w:rPr>
        <w:t>2年</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另有约定的从其约定。质保期从货物验收合格后算起。</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lang w:val="en-US" w:eastAsia="zh-CN"/>
        </w:rPr>
        <w:t>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货物到达现场后，由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组织首次验收，</w:t>
      </w:r>
      <w:r>
        <w:rPr>
          <w:rFonts w:hint="eastAsia" w:ascii="宋体" w:hAnsi="宋体" w:eastAsia="宋体" w:cs="宋体"/>
          <w:color w:val="auto"/>
          <w:szCs w:val="21"/>
          <w:highlight w:val="none"/>
          <w:lang w:val="en-US"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必须向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提供厂家出具的合格证明、供货证明和质量检验证书。到货后，若</w:t>
      </w:r>
      <w:r>
        <w:rPr>
          <w:rFonts w:hint="eastAsia" w:ascii="宋体" w:hAnsi="宋体" w:eastAsia="宋体" w:cs="宋体"/>
          <w:color w:val="auto"/>
          <w:szCs w:val="21"/>
          <w:highlight w:val="none"/>
          <w:lang w:val="en-US"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提供的产品不符合技术参</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数要求和国家标准。</w:t>
      </w:r>
      <w:r>
        <w:rPr>
          <w:rFonts w:hint="eastAsia" w:ascii="宋体" w:hAnsi="宋体" w:eastAsia="宋体" w:cs="宋体"/>
          <w:color w:val="auto"/>
          <w:szCs w:val="21"/>
          <w:highlight w:val="none"/>
          <w:lang w:val="en-US" w:eastAsia="zh-CN"/>
        </w:rPr>
        <w:t>院方</w:t>
      </w:r>
      <w:r>
        <w:rPr>
          <w:rFonts w:hint="eastAsia" w:ascii="宋体" w:hAnsi="宋体" w:eastAsia="宋体" w:cs="宋体"/>
          <w:color w:val="auto"/>
          <w:szCs w:val="21"/>
          <w:highlight w:val="none"/>
        </w:rPr>
        <w:t>有权拒收，无条件退货或要求换货。</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lang w:val="en-US" w:eastAsia="zh-CN"/>
        </w:rPr>
        <w:t>、付款方式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设备安装调试完成验收合格，30个日历天内支付合同总金额的60%；设备正常运行6个月，30个日历天内支付合同总金额的30%；</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年后</w:t>
      </w:r>
      <w:r>
        <w:rPr>
          <w:rFonts w:hint="eastAsia" w:ascii="宋体" w:hAnsi="宋体" w:cs="宋体"/>
          <w:color w:val="auto"/>
          <w:szCs w:val="21"/>
          <w:highlight w:val="none"/>
        </w:rPr>
        <w:t>一次</w:t>
      </w:r>
      <w:r>
        <w:rPr>
          <w:rFonts w:hint="eastAsia" w:ascii="宋体" w:hAnsi="宋体" w:eastAsia="宋体" w:cs="宋体"/>
          <w:color w:val="auto"/>
          <w:szCs w:val="21"/>
          <w:highlight w:val="none"/>
        </w:rPr>
        <w:t>性付清合同总金额的10％（不计利息，若有违约则扣除相应违约金）。</w:t>
      </w:r>
    </w:p>
    <w:p>
      <w:pPr>
        <w:ind w:firstLine="420" w:firstLineChars="200"/>
        <w:rPr>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付款前，乙方必须提供符合要求的发票，甲方再付款，否则导致不能付款的责任由乙方承担。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9060"/>
    <w:multiLevelType w:val="singleLevel"/>
    <w:tmpl w:val="905290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3207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2024-01-15T00:22:27Z</dcterms:created>
  <dc:creator>0520</dc:creator>
  <cp:lastModifiedBy>WPS_1425723292</cp:lastModifiedBy>
  <dcterms:modified xsi:type="dcterms:W3CDTF">2024-01-15T00:22:36Z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0A5BCB5CEC8745C3B24837ADBA9BE367_12</vt:lpwstr>
  </property>
</Properties>
</file>