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highlight w:val="none"/>
          <w:lang w:val="en-US" w:eastAsia="zh-CN"/>
        </w:rPr>
      </w:pPr>
      <w:bookmarkStart w:id="0" w:name="_Toc28119"/>
      <w:r>
        <w:rPr>
          <w:rFonts w:hint="eastAsia"/>
          <w:color w:val="auto"/>
          <w:highlight w:val="none"/>
          <w:lang w:val="en-US" w:eastAsia="zh-CN"/>
        </w:rPr>
        <w:t>安庆市第一人民医院自动售货机投放管理项目</w:t>
      </w:r>
    </w:p>
    <w:p>
      <w:pPr>
        <w:pStyle w:val="2"/>
        <w:rPr>
          <w:rFonts w:hint="eastAsia"/>
          <w:color w:val="auto"/>
          <w:sz w:val="21"/>
          <w:szCs w:val="21"/>
          <w:highlight w:val="none"/>
          <w:lang w:val="en-US" w:eastAsia="zh-CN"/>
        </w:rPr>
      </w:pPr>
      <w:r>
        <w:rPr>
          <w:rFonts w:hint="eastAsia"/>
          <w:color w:val="auto"/>
          <w:highlight w:val="none"/>
          <w:lang w:eastAsia="zh-CN"/>
        </w:rPr>
        <w:t>服务需求</w:t>
      </w:r>
      <w:bookmarkEnd w:id="0"/>
      <w:bookmarkStart w:id="7" w:name="_GoBack"/>
      <w:bookmarkEnd w:id="7"/>
      <w:bookmarkStart w:id="1" w:name="_Toc18380"/>
      <w:bookmarkStart w:id="2" w:name="_Toc490682727"/>
      <w:bookmarkStart w:id="3" w:name="_Toc17601"/>
      <w:bookmarkStart w:id="4" w:name="_Toc3184"/>
      <w:bookmarkStart w:id="5" w:name="_Toc21193"/>
      <w:bookmarkStart w:id="6" w:name="bookmark47"/>
    </w:p>
    <w:p>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服务内容及要求：</w:t>
      </w:r>
    </w:p>
    <w:p>
      <w:pPr>
        <w:pStyle w:val="3"/>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drawing>
          <wp:inline distT="0" distB="0" distL="114300" distR="114300">
            <wp:extent cx="2308225" cy="3079115"/>
            <wp:effectExtent l="0" t="0" r="8255" b="14605"/>
            <wp:docPr id="1" name="图片 1" descr="0dfd493968b230caa8571aabe00ca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fd493968b230caa8571aabe00ca8d"/>
                    <pic:cNvPicPr>
                      <a:picLocks noChangeAspect="1"/>
                    </pic:cNvPicPr>
                  </pic:nvPicPr>
                  <pic:blipFill>
                    <a:blip r:embed="rId4"/>
                    <a:stretch>
                      <a:fillRect/>
                    </a:stretch>
                  </pic:blipFill>
                  <pic:spPr>
                    <a:xfrm>
                      <a:off x="0" y="0"/>
                      <a:ext cx="2308225" cy="3079115"/>
                    </a:xfrm>
                    <a:prstGeom prst="rect">
                      <a:avLst/>
                    </a:prstGeom>
                  </pic:spPr>
                </pic:pic>
              </a:graphicData>
            </a:graphic>
          </wp:inline>
        </w:drawing>
      </w:r>
      <w:r>
        <w:rPr>
          <w:rFonts w:hint="eastAsia"/>
          <w:color w:val="auto"/>
          <w:highlight w:val="none"/>
          <w:lang w:val="en-US" w:eastAsia="zh-CN"/>
        </w:rPr>
        <w:drawing>
          <wp:inline distT="0" distB="0" distL="114300" distR="114300">
            <wp:extent cx="2309495" cy="3081020"/>
            <wp:effectExtent l="0" t="0" r="6985" b="12700"/>
            <wp:docPr id="2" name="图片 2" descr="ebab640c7a854f0e097bf09ea2b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ab640c7a854f0e097bf09ea2b5168"/>
                    <pic:cNvPicPr>
                      <a:picLocks noChangeAspect="1"/>
                    </pic:cNvPicPr>
                  </pic:nvPicPr>
                  <pic:blipFill>
                    <a:blip r:embed="rId5"/>
                    <a:stretch>
                      <a:fillRect/>
                    </a:stretch>
                  </pic:blipFill>
                  <pic:spPr>
                    <a:xfrm>
                      <a:off x="0" y="0"/>
                      <a:ext cx="2309495" cy="3081020"/>
                    </a:xfrm>
                    <a:prstGeom prst="rect">
                      <a:avLst/>
                    </a:prstGeom>
                  </pic:spPr>
                </pic:pic>
              </a:graphicData>
            </a:graphic>
          </wp:inline>
        </w:drawing>
      </w:r>
    </w:p>
    <w:p>
      <w:pPr>
        <w:rPr>
          <w:rFonts w:hint="eastAsia"/>
          <w:color w:val="auto"/>
          <w:highlight w:val="none"/>
          <w:lang w:val="en-US" w:eastAsia="zh-CN"/>
        </w:rPr>
      </w:pPr>
    </w:p>
    <w:p>
      <w:pPr>
        <w:numPr>
          <w:ilvl w:val="0"/>
          <w:numId w:val="0"/>
        </w:numPr>
        <w:ind w:firstLine="420" w:firstLineChars="200"/>
        <w:rPr>
          <w:rFonts w:hint="eastAsia" w:ascii="宋体" w:hAnsi="宋体" w:eastAsia="宋体"/>
          <w:szCs w:val="21"/>
          <w:highlight w:val="none"/>
          <w:lang w:val="en-US" w:eastAsia="zh-CN"/>
        </w:rPr>
      </w:pPr>
      <w:r>
        <w:rPr>
          <w:rFonts w:hint="eastAsia"/>
          <w:color w:val="auto"/>
          <w:highlight w:val="none"/>
          <w:lang w:val="en-US" w:eastAsia="zh-CN"/>
        </w:rPr>
        <w:t>1、自动售货机尺寸约为</w:t>
      </w:r>
      <w:r>
        <w:rPr>
          <w:rFonts w:hint="eastAsia" w:ascii="宋体" w:hAnsi="宋体" w:eastAsia="宋体"/>
          <w:szCs w:val="21"/>
          <w:highlight w:val="none"/>
          <w:lang w:val="en-US" w:eastAsia="zh-CN"/>
        </w:rPr>
        <w:t>：高1830×宽1</w:t>
      </w:r>
      <w:r>
        <w:rPr>
          <w:rFonts w:hint="eastAsia" w:ascii="宋体" w:hAnsi="宋体"/>
          <w:szCs w:val="21"/>
          <w:highlight w:val="none"/>
          <w:lang w:val="en-US" w:eastAsia="zh-CN"/>
        </w:rPr>
        <w:t>056</w:t>
      </w:r>
      <w:r>
        <w:rPr>
          <w:rFonts w:hint="eastAsia" w:ascii="宋体" w:hAnsi="宋体" w:eastAsia="宋体"/>
          <w:szCs w:val="21"/>
          <w:highlight w:val="none"/>
          <w:lang w:val="en-US" w:eastAsia="zh-CN"/>
        </w:rPr>
        <w:t>×深805mm</w:t>
      </w:r>
    </w:p>
    <w:p>
      <w:pPr>
        <w:numPr>
          <w:ilvl w:val="0"/>
          <w:numId w:val="0"/>
        </w:numPr>
        <w:ind w:firstLine="420" w:firstLineChars="200"/>
        <w:rPr>
          <w:rFonts w:hint="eastAsia"/>
          <w:color w:val="auto"/>
          <w:highlight w:val="none"/>
          <w:lang w:val="en-US" w:eastAsia="zh-CN"/>
        </w:rPr>
      </w:pPr>
      <w:r>
        <w:rPr>
          <w:rFonts w:hint="eastAsia"/>
          <w:color w:val="auto"/>
          <w:highlight w:val="none"/>
          <w:lang w:val="en-US" w:eastAsia="zh-CN"/>
        </w:rPr>
        <w:t>2、服务时间1年。每台机器每年上交≥8000元冲抵医院电费、场地费，通过有效最高价确定上交金额后，合同期内不做调整。</w:t>
      </w:r>
    </w:p>
    <w:p>
      <w:pPr>
        <w:widowControl/>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3、</w:t>
      </w:r>
      <w:r>
        <w:rPr>
          <w:rFonts w:hint="eastAsia" w:ascii="宋体" w:hAnsi="宋体"/>
          <w:szCs w:val="21"/>
          <w:highlight w:val="none"/>
        </w:rPr>
        <w:t>成交商在采购方</w:t>
      </w:r>
      <w:r>
        <w:rPr>
          <w:rFonts w:hint="eastAsia" w:ascii="宋体" w:hAnsi="宋体"/>
          <w:szCs w:val="21"/>
          <w:highlight w:val="none"/>
          <w:lang w:val="en-US" w:eastAsia="zh-CN"/>
        </w:rPr>
        <w:t>指定区域</w:t>
      </w:r>
      <w:r>
        <w:rPr>
          <w:rFonts w:hint="eastAsia" w:ascii="宋体" w:hAnsi="宋体"/>
          <w:szCs w:val="21"/>
          <w:highlight w:val="none"/>
        </w:rPr>
        <w:t>投放</w:t>
      </w:r>
      <w:r>
        <w:rPr>
          <w:rFonts w:hint="eastAsia" w:ascii="宋体" w:hAnsi="宋体"/>
          <w:szCs w:val="21"/>
          <w:highlight w:val="none"/>
          <w:lang w:val="en-US" w:eastAsia="zh-CN"/>
        </w:rPr>
        <w:t>自动售货机</w:t>
      </w:r>
      <w:r>
        <w:rPr>
          <w:rFonts w:hint="eastAsia" w:ascii="宋体" w:hAnsi="宋体"/>
          <w:szCs w:val="21"/>
          <w:highlight w:val="none"/>
        </w:rPr>
        <w:t>，投放具体数量及投放地点根据采购方实际需求决定</w:t>
      </w:r>
      <w:r>
        <w:rPr>
          <w:rFonts w:hint="eastAsia" w:ascii="宋体" w:hAnsi="宋体"/>
          <w:szCs w:val="21"/>
          <w:highlight w:val="none"/>
          <w:lang w:eastAsia="zh-CN"/>
        </w:rPr>
        <w:t>（</w:t>
      </w:r>
      <w:r>
        <w:rPr>
          <w:rFonts w:hint="eastAsia" w:ascii="宋体" w:hAnsi="宋体"/>
          <w:szCs w:val="21"/>
          <w:highlight w:val="none"/>
          <w:lang w:val="en-US" w:eastAsia="zh-CN"/>
        </w:rPr>
        <w:t>暂定2台</w:t>
      </w:r>
      <w:r>
        <w:rPr>
          <w:rFonts w:hint="eastAsia" w:ascii="宋体" w:hAnsi="宋体"/>
          <w:szCs w:val="21"/>
          <w:highlight w:val="none"/>
          <w:lang w:eastAsia="zh-CN"/>
        </w:rPr>
        <w:t>）。</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成交商需制定本项目服务方案</w:t>
      </w:r>
      <w:r>
        <w:rPr>
          <w:rFonts w:hint="eastAsia" w:ascii="宋体" w:hAnsi="宋体"/>
          <w:szCs w:val="21"/>
          <w:highlight w:val="none"/>
          <w:lang w:eastAsia="zh-CN"/>
        </w:rPr>
        <w:t>，</w:t>
      </w:r>
      <w:r>
        <w:rPr>
          <w:rFonts w:hint="eastAsia"/>
          <w:color w:val="auto"/>
          <w:highlight w:val="none"/>
          <w:lang w:val="en-US" w:eastAsia="zh-CN"/>
        </w:rPr>
        <w:t>交医院管理部门确认后备存</w:t>
      </w:r>
      <w:r>
        <w:rPr>
          <w:rFonts w:hint="eastAsia" w:ascii="宋体" w:hAnsi="宋体"/>
          <w:szCs w:val="21"/>
          <w:highlight w:val="none"/>
        </w:rPr>
        <w:t>。</w:t>
      </w:r>
    </w:p>
    <w:p>
      <w:pPr>
        <w:widowControl/>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5、</w:t>
      </w:r>
      <w:r>
        <w:rPr>
          <w:rFonts w:hint="eastAsia" w:ascii="宋体" w:hAnsi="宋体"/>
          <w:szCs w:val="21"/>
          <w:highlight w:val="none"/>
        </w:rPr>
        <w:t>成交商</w:t>
      </w:r>
      <w:r>
        <w:rPr>
          <w:rFonts w:hint="eastAsia" w:ascii="宋体" w:hAnsi="宋体"/>
          <w:szCs w:val="21"/>
          <w:highlight w:val="none"/>
          <w:lang w:val="en-US" w:eastAsia="zh-CN"/>
        </w:rPr>
        <w:t>负责免费机器安装、调试并提供日常定期维修、保养，以保证设备正常工作</w:t>
      </w:r>
      <w:r>
        <w:rPr>
          <w:rFonts w:hint="eastAsia" w:ascii="宋体" w:hAnsi="宋体"/>
          <w:szCs w:val="21"/>
          <w:highlight w:val="none"/>
        </w:rPr>
        <w:t>。</w:t>
      </w:r>
      <w:r>
        <w:rPr>
          <w:rFonts w:hint="eastAsia" w:ascii="宋体" w:hAnsi="宋体"/>
          <w:szCs w:val="21"/>
          <w:highlight w:val="none"/>
          <w:lang w:val="en-US" w:eastAsia="zh-CN"/>
        </w:rPr>
        <w:t>同时成交商负责自动售货机的补货、收款工作。</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成交商负责</w:t>
      </w:r>
      <w:r>
        <w:rPr>
          <w:rFonts w:hint="eastAsia" w:ascii="宋体" w:hAnsi="宋体"/>
          <w:szCs w:val="21"/>
          <w:highlight w:val="none"/>
          <w:lang w:val="en-US" w:eastAsia="zh-CN"/>
        </w:rPr>
        <w:t>办妥</w:t>
      </w:r>
      <w:r>
        <w:rPr>
          <w:rFonts w:hint="eastAsia" w:ascii="宋体" w:hAnsi="宋体"/>
          <w:szCs w:val="21"/>
          <w:highlight w:val="none"/>
        </w:rPr>
        <w:t>自动售货机投放市场的相关审批手续及处理</w:t>
      </w:r>
      <w:r>
        <w:rPr>
          <w:rFonts w:hint="eastAsia" w:ascii="宋体" w:hAnsi="宋体"/>
          <w:szCs w:val="21"/>
          <w:highlight w:val="none"/>
          <w:lang w:eastAsia="zh-CN"/>
        </w:rPr>
        <w:t>，</w:t>
      </w:r>
      <w:r>
        <w:rPr>
          <w:rFonts w:hint="eastAsia" w:ascii="宋体" w:hAnsi="宋体"/>
          <w:szCs w:val="21"/>
          <w:highlight w:val="none"/>
        </w:rPr>
        <w:t>由于自动售货机所引起的顾客投诉等问题。</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成交商必须确保投放</w:t>
      </w:r>
      <w:r>
        <w:rPr>
          <w:rFonts w:hint="eastAsia" w:ascii="宋体" w:hAnsi="宋体"/>
          <w:szCs w:val="21"/>
          <w:highlight w:val="none"/>
          <w:lang w:val="en-US" w:eastAsia="zh-CN"/>
        </w:rPr>
        <w:t>的自动售货机所售</w:t>
      </w:r>
      <w:r>
        <w:rPr>
          <w:rFonts w:hint="eastAsia" w:ascii="宋体" w:hAnsi="宋体"/>
          <w:szCs w:val="21"/>
          <w:highlight w:val="none"/>
        </w:rPr>
        <w:t>饮料</w:t>
      </w:r>
      <w:r>
        <w:rPr>
          <w:rFonts w:hint="eastAsia" w:ascii="宋体" w:hAnsi="宋体"/>
          <w:szCs w:val="21"/>
          <w:highlight w:val="none"/>
          <w:lang w:val="en-US" w:eastAsia="zh-CN"/>
        </w:rPr>
        <w:t>等</w:t>
      </w:r>
      <w:r>
        <w:rPr>
          <w:rFonts w:hint="eastAsia" w:ascii="宋体" w:hAnsi="宋体"/>
          <w:szCs w:val="21"/>
          <w:highlight w:val="none"/>
        </w:rPr>
        <w:t>食品卫生安全</w:t>
      </w:r>
      <w:r>
        <w:rPr>
          <w:rFonts w:hint="eastAsia" w:ascii="宋体" w:hAnsi="宋体"/>
          <w:szCs w:val="21"/>
          <w:highlight w:val="none"/>
          <w:lang w:eastAsia="zh-CN"/>
        </w:rPr>
        <w:t>。</w:t>
      </w:r>
      <w:r>
        <w:rPr>
          <w:rFonts w:hint="eastAsia" w:ascii="宋体" w:hAnsi="宋体"/>
          <w:szCs w:val="21"/>
          <w:highlight w:val="none"/>
        </w:rPr>
        <w:t>过期、变质</w:t>
      </w:r>
      <w:r>
        <w:rPr>
          <w:rFonts w:hint="eastAsia" w:ascii="宋体" w:hAnsi="宋体"/>
          <w:szCs w:val="21"/>
          <w:highlight w:val="none"/>
          <w:lang w:val="en-US" w:eastAsia="zh-CN"/>
        </w:rPr>
        <w:t>商品</w:t>
      </w:r>
      <w:r>
        <w:rPr>
          <w:rFonts w:hint="eastAsia" w:ascii="宋体" w:hAnsi="宋体"/>
          <w:szCs w:val="21"/>
          <w:highlight w:val="none"/>
        </w:rPr>
        <w:t>不得</w:t>
      </w:r>
      <w:r>
        <w:rPr>
          <w:rFonts w:hint="eastAsia" w:ascii="宋体" w:hAnsi="宋体"/>
          <w:szCs w:val="21"/>
          <w:highlight w:val="none"/>
          <w:lang w:val="en-US" w:eastAsia="zh-CN"/>
        </w:rPr>
        <w:t>出售。</w:t>
      </w:r>
      <w:r>
        <w:rPr>
          <w:rFonts w:hint="eastAsia" w:ascii="宋体" w:hAnsi="宋体"/>
          <w:szCs w:val="21"/>
          <w:highlight w:val="none"/>
        </w:rPr>
        <w:t>若因</w:t>
      </w:r>
      <w:r>
        <w:rPr>
          <w:rFonts w:hint="eastAsia" w:ascii="宋体" w:hAnsi="宋体"/>
          <w:szCs w:val="21"/>
          <w:highlight w:val="none"/>
          <w:lang w:val="en-US" w:eastAsia="zh-CN"/>
        </w:rPr>
        <w:t>商品</w:t>
      </w:r>
      <w:r>
        <w:rPr>
          <w:rFonts w:hint="eastAsia" w:ascii="宋体" w:hAnsi="宋体"/>
          <w:szCs w:val="21"/>
          <w:highlight w:val="none"/>
        </w:rPr>
        <w:t>过期、变质等原因造成消费者受到伤害</w:t>
      </w:r>
      <w:r>
        <w:rPr>
          <w:rFonts w:hint="eastAsia" w:ascii="宋体" w:hAnsi="宋体"/>
          <w:szCs w:val="21"/>
          <w:highlight w:val="none"/>
          <w:lang w:eastAsia="zh-CN"/>
        </w:rPr>
        <w:t>，</w:t>
      </w:r>
      <w:r>
        <w:rPr>
          <w:rFonts w:hint="eastAsia" w:ascii="宋体" w:hAnsi="宋体"/>
          <w:szCs w:val="21"/>
          <w:highlight w:val="none"/>
          <w:lang w:val="en-US" w:eastAsia="zh-CN"/>
        </w:rPr>
        <w:t>或被市场监督管理部门查处，所有法律责任和民事赔偿责任</w:t>
      </w:r>
      <w:r>
        <w:rPr>
          <w:rFonts w:hint="eastAsia" w:ascii="宋体" w:hAnsi="宋体"/>
          <w:szCs w:val="21"/>
          <w:highlight w:val="none"/>
        </w:rPr>
        <w:t>一律由</w:t>
      </w:r>
      <w:r>
        <w:rPr>
          <w:rFonts w:hint="eastAsia" w:ascii="宋体" w:hAnsi="宋体"/>
          <w:szCs w:val="21"/>
          <w:highlight w:val="none"/>
          <w:lang w:val="en-US" w:eastAsia="zh-CN"/>
        </w:rPr>
        <w:t>成交商承担</w:t>
      </w:r>
      <w:r>
        <w:rPr>
          <w:rFonts w:hint="eastAsia" w:ascii="宋体" w:hAnsi="宋体"/>
          <w:szCs w:val="21"/>
          <w:highlight w:val="none"/>
        </w:rPr>
        <w:t>。</w:t>
      </w:r>
    </w:p>
    <w:p>
      <w:pPr>
        <w:widowControl/>
        <w:spacing w:line="500" w:lineRule="exact"/>
        <w:ind w:firstLine="405"/>
        <w:jc w:val="left"/>
        <w:rPr>
          <w:rFonts w:hint="eastAsia"/>
          <w:color w:val="auto"/>
          <w:highlight w:val="none"/>
          <w:lang w:val="en-US" w:eastAsia="zh-CN"/>
        </w:rPr>
      </w:pPr>
      <w:r>
        <w:rPr>
          <w:rFonts w:hint="eastAsia" w:ascii="宋体" w:hAnsi="宋体"/>
          <w:szCs w:val="21"/>
          <w:highlight w:val="none"/>
          <w:lang w:val="en-US" w:eastAsia="zh-CN"/>
        </w:rPr>
        <w:t>8、</w:t>
      </w:r>
      <w:r>
        <w:rPr>
          <w:rFonts w:hint="eastAsia" w:ascii="宋体" w:hAnsi="宋体"/>
          <w:szCs w:val="21"/>
          <w:highlight w:val="none"/>
        </w:rPr>
        <w:t>成交商在合同期内安装，维修，售卖等情况应符合</w:t>
      </w:r>
      <w:r>
        <w:rPr>
          <w:rFonts w:hint="eastAsia" w:ascii="宋体" w:hAnsi="宋体"/>
          <w:szCs w:val="21"/>
          <w:highlight w:val="none"/>
          <w:lang w:val="en-US" w:eastAsia="zh-CN"/>
        </w:rPr>
        <w:t>院方</w:t>
      </w:r>
      <w:r>
        <w:rPr>
          <w:rFonts w:hint="eastAsia" w:ascii="宋体" w:hAnsi="宋体"/>
          <w:szCs w:val="21"/>
          <w:highlight w:val="none"/>
        </w:rPr>
        <w:t>的管理要求，</w:t>
      </w:r>
      <w:r>
        <w:rPr>
          <w:rFonts w:hint="eastAsia" w:ascii="宋体" w:hAnsi="宋体"/>
          <w:szCs w:val="21"/>
          <w:highlight w:val="none"/>
          <w:lang w:val="en-US" w:eastAsia="zh-CN"/>
        </w:rPr>
        <w:t>同</w:t>
      </w:r>
      <w:r>
        <w:rPr>
          <w:rFonts w:hint="eastAsia"/>
          <w:color w:val="auto"/>
          <w:highlight w:val="none"/>
          <w:lang w:val="en-US" w:eastAsia="zh-CN"/>
        </w:rPr>
        <w:t>时需保证其所提供产品的质量且需符合国家相关标准规定，定期安排专业安全员巡查，确保设备安全和用电安全，并承担因此引发的全部安全责任。医院各类人员(含病员和家属)在使用自动售货机时，如非使用不当等人为因素或因成交商产品质量原因造成人身和材产受到侵害的经济和法律责任均由成交商全部承担。</w:t>
      </w:r>
    </w:p>
    <w:p>
      <w:pPr>
        <w:widowControl/>
        <w:spacing w:line="360" w:lineRule="auto"/>
        <w:ind w:firstLine="420" w:firstLineChars="200"/>
        <w:jc w:val="left"/>
        <w:rPr>
          <w:rFonts w:hint="eastAsia" w:ascii="宋体" w:hAnsi="宋体"/>
          <w:szCs w:val="21"/>
          <w:highlight w:val="none"/>
        </w:rPr>
      </w:pPr>
    </w:p>
    <w:p>
      <w:pPr>
        <w:rPr>
          <w:rFonts w:hint="eastAsia"/>
          <w:color w:val="auto"/>
          <w:highlight w:val="none"/>
          <w:lang w:val="en-US" w:eastAsia="zh-CN"/>
        </w:rPr>
      </w:pPr>
    </w:p>
    <w:p>
      <w:pPr>
        <w:pStyle w:val="3"/>
        <w:rPr>
          <w:rFonts w:hint="eastAsia"/>
          <w:lang w:val="en-US" w:eastAsia="zh-CN"/>
        </w:rPr>
      </w:pPr>
    </w:p>
    <w:bookmarkEnd w:id="1"/>
    <w:bookmarkEnd w:id="2"/>
    <w:bookmarkEnd w:id="3"/>
    <w:bookmarkEnd w:id="4"/>
    <w:bookmarkEnd w:id="5"/>
    <w:bookmarkEnd w:id="6"/>
    <w:p>
      <w:pPr>
        <w:pStyle w:val="2"/>
        <w:rPr>
          <w:rFonts w:hint="eastAsia"/>
          <w:color w:val="auto"/>
          <w:highlight w:val="none"/>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MjM2ZDMwZmI3ZjRkYzVhMGRmODMxZjc1ODk4N2IifQ=="/>
  </w:docVars>
  <w:rsids>
    <w:rsidRoot w:val="7F9A144E"/>
    <w:rsid w:val="03F97C93"/>
    <w:rsid w:val="08D441BA"/>
    <w:rsid w:val="14EB1960"/>
    <w:rsid w:val="1BE37C4C"/>
    <w:rsid w:val="1DB77AB0"/>
    <w:rsid w:val="2FDF1F8C"/>
    <w:rsid w:val="398E2BE4"/>
    <w:rsid w:val="43F3769A"/>
    <w:rsid w:val="4C0B12CE"/>
    <w:rsid w:val="4E53210E"/>
    <w:rsid w:val="7F9A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able of figures"/>
    <w:basedOn w:val="1"/>
    <w:next w:val="1"/>
    <w:qFormat/>
    <w:uiPriority w:val="99"/>
    <w:pPr>
      <w:ind w:left="840" w:leftChars="200" w:hanging="420" w:hangingChars="200"/>
    </w:pPr>
    <w:rPr>
      <w:szCs w:val="20"/>
    </w:rPr>
  </w:style>
  <w:style w:type="paragraph" w:customStyle="1" w:styleId="6">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2024-01-25T07:50:00Z</dcterms:created>
  <dc:creator>太空王子</dc:creator>
  <cp:lastModifiedBy>太空王子</cp:lastModifiedBy>
  <cp:lastPrinted>2024-01-29T02:01:20Z</cp:lastPrinted>
  <dcterms:modified xsi:type="dcterms:W3CDTF">2024-01-29T02:07:35Z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B066B90504C74E1D95D1E162B2C5E648_13</vt:lpwstr>
  </property>
</Properties>
</file>