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outlineLvl w:val="0"/>
        <w:rPr>
          <w:rFonts w:ascii="宋体" w:cs="宋体"/>
          <w:b/>
          <w:bCs/>
          <w:snapToGrid w:val="0"/>
          <w:kern w:val="0"/>
          <w:sz w:val="32"/>
          <w:szCs w:val="32"/>
        </w:rPr>
      </w:pPr>
      <w:bookmarkStart w:id="3" w:name="_GoBack"/>
      <w:bookmarkStart w:id="0" w:name="_Toc54941339"/>
      <w:bookmarkStart w:id="1" w:name="_Toc12933"/>
      <w:bookmarkStart w:id="2" w:name="_Toc28266"/>
      <w:r>
        <w:rPr>
          <w:rFonts w:hint="eastAsia" w:ascii="宋体" w:hAnsi="宋体" w:cs="宋体"/>
          <w:b/>
          <w:sz w:val="32"/>
          <w:szCs w:val="32"/>
          <w:lang w:val="zh-CN"/>
        </w:rPr>
        <w:t>货物需求及参数要求</w:t>
      </w:r>
      <w:bookmarkEnd w:id="0"/>
      <w:bookmarkEnd w:id="1"/>
      <w:bookmarkEnd w:id="2"/>
    </w:p>
    <w:bookmarkEnd w:id="3"/>
    <w:p>
      <w:pPr>
        <w:widowControl/>
        <w:spacing w:line="360" w:lineRule="auto"/>
        <w:ind w:firstLine="420" w:firstLineChars="200"/>
        <w:rPr>
          <w:rFonts w:ascii="宋体" w:hAnsi="宋体"/>
          <w:szCs w:val="21"/>
        </w:rPr>
      </w:pPr>
      <w:r>
        <w:rPr>
          <w:rFonts w:hint="eastAsia" w:ascii="宋体" w:hAnsi="宋体"/>
          <w:szCs w:val="21"/>
        </w:rPr>
        <w:t>为鼓励不同品牌的充分竞争，如某产品的某技术参数或要求属于个别品牌专有，则该技术参数及要求不具有限制性，投标人可对该参数或要求进行适当调整，但这种调整整体上要优于或相当于采购文件的相关要求，并说明调整理由，且该调整须经评标委员会审核认可。</w:t>
      </w:r>
    </w:p>
    <w:p>
      <w:pPr>
        <w:widowControl/>
        <w:numPr>
          <w:ilvl w:val="0"/>
          <w:numId w:val="1"/>
        </w:numPr>
        <w:spacing w:line="360" w:lineRule="auto"/>
        <w:ind w:firstLine="422"/>
        <w:jc w:val="left"/>
        <w:rPr>
          <w:b/>
          <w:bCs/>
        </w:rPr>
      </w:pPr>
      <w:r>
        <w:rPr>
          <w:rFonts w:hint="eastAsia"/>
          <w:b/>
          <w:bCs/>
        </w:rPr>
        <w:t>货物需求一览表</w:t>
      </w:r>
    </w:p>
    <w:tbl>
      <w:tblPr>
        <w:tblStyle w:val="3"/>
        <w:tblW w:w="9800" w:type="dxa"/>
        <w:jc w:val="center"/>
        <w:tblLayout w:type="fixed"/>
        <w:tblCellMar>
          <w:top w:w="0" w:type="dxa"/>
          <w:left w:w="108" w:type="dxa"/>
          <w:bottom w:w="0" w:type="dxa"/>
          <w:right w:w="108" w:type="dxa"/>
        </w:tblCellMar>
      </w:tblPr>
      <w:tblGrid>
        <w:gridCol w:w="717"/>
        <w:gridCol w:w="1735"/>
        <w:gridCol w:w="4493"/>
        <w:gridCol w:w="1549"/>
        <w:gridCol w:w="1306"/>
      </w:tblGrid>
      <w:tr>
        <w:tblPrEx>
          <w:tblCellMar>
            <w:top w:w="0" w:type="dxa"/>
            <w:left w:w="108" w:type="dxa"/>
            <w:bottom w:w="0" w:type="dxa"/>
            <w:right w:w="108" w:type="dxa"/>
          </w:tblCellMar>
        </w:tblPrEx>
        <w:trPr>
          <w:trHeight w:val="90" w:hRule="atLeast"/>
          <w:jc w:val="center"/>
        </w:trPr>
        <w:tc>
          <w:tcPr>
            <w:tcW w:w="717" w:type="dxa"/>
            <w:tcBorders>
              <w:top w:val="single" w:color="000000" w:sz="4" w:space="0"/>
              <w:left w:val="single" w:color="000000" w:sz="4" w:space="0"/>
              <w:bottom w:val="single" w:color="auto"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735" w:type="dxa"/>
            <w:tcBorders>
              <w:top w:val="single" w:color="000000" w:sz="4" w:space="0"/>
              <w:left w:val="single" w:color="000000" w:sz="4" w:space="0"/>
              <w:bottom w:val="single" w:color="auto" w:sz="4" w:space="0"/>
              <w:right w:val="single" w:color="000000" w:sz="4" w:space="0"/>
            </w:tcBorders>
            <w:noWrap/>
            <w:vAlign w:val="center"/>
          </w:tcPr>
          <w:p>
            <w:pPr>
              <w:widowControl/>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lang w:bidi="ar"/>
              </w:rPr>
              <w:t>货物名称</w:t>
            </w:r>
          </w:p>
        </w:tc>
        <w:tc>
          <w:tcPr>
            <w:tcW w:w="449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技术参数</w:t>
            </w:r>
          </w:p>
        </w:tc>
        <w:tc>
          <w:tcPr>
            <w:tcW w:w="154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两年约使用量</w:t>
            </w:r>
          </w:p>
        </w:tc>
        <w:tc>
          <w:tcPr>
            <w:tcW w:w="130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最高限价</w:t>
            </w:r>
          </w:p>
        </w:tc>
      </w:tr>
      <w:tr>
        <w:tblPrEx>
          <w:tblCellMar>
            <w:top w:w="0" w:type="dxa"/>
            <w:left w:w="108" w:type="dxa"/>
            <w:bottom w:w="0" w:type="dxa"/>
            <w:right w:w="108" w:type="dxa"/>
          </w:tblCellMar>
        </w:tblPrEx>
        <w:trPr>
          <w:trHeight w:val="1126" w:hRule="atLeast"/>
          <w:jc w:val="center"/>
        </w:trPr>
        <w:tc>
          <w:tcPr>
            <w:tcW w:w="717" w:type="dxa"/>
            <w:tcBorders>
              <w:top w:val="single" w:color="auto" w:sz="4" w:space="0"/>
              <w:left w:val="single" w:color="auto" w:sz="4" w:space="0"/>
              <w:right w:val="single" w:color="000000" w:sz="4" w:space="0"/>
            </w:tcBorders>
            <w:noWrap/>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1</w:t>
            </w:r>
          </w:p>
        </w:tc>
        <w:tc>
          <w:tcPr>
            <w:tcW w:w="1735" w:type="dxa"/>
            <w:tcBorders>
              <w:top w:val="single" w:color="auto" w:sz="4" w:space="0"/>
              <w:left w:val="single" w:color="000000" w:sz="4" w:space="0"/>
              <w:bottom w:val="single" w:color="auto" w:sz="4" w:space="0"/>
              <w:right w:val="single" w:color="auto" w:sz="4" w:space="0"/>
            </w:tcBorders>
            <w:noWrap/>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一次性使用多功能手术解剖镊</w:t>
            </w:r>
          </w:p>
        </w:tc>
        <w:tc>
          <w:tcPr>
            <w:tcW w:w="4493" w:type="dxa"/>
            <w:tcBorders>
              <w:top w:val="single" w:color="000000" w:sz="4" w:space="0"/>
              <w:left w:val="single" w:color="auto" w:sz="4" w:space="0"/>
              <w:right w:val="single" w:color="000000" w:sz="4" w:space="0"/>
            </w:tcBorders>
            <w:noWrap/>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1、工作有效长度：110~155mm。</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2、镊尖长度：6.0±0.5mm。</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3、镊尖尺寸：0.50±0.15mm。</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4、电线长度：2.8~3.0m。</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5、直身镊子，加保护盒。</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6、镊身材质为专用不粘合金，更高的导电率，减少电凝过程中镊尖粘连组织的发生。</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7、镊尖独特的5°倾角设计，提高电凝模式下的切割效率。</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8、镊尖完全捏合后，可使内侧完全贴合，增大放电面积，增强电凝效果。</w:t>
            </w:r>
          </w:p>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9、适用范围：为头颈部手术设计，器械发热少，减少术中出血，利于精准切割，提高对喉返神经、甲状旁腺、面神经等重要器官的保护。</w:t>
            </w:r>
          </w:p>
        </w:tc>
        <w:tc>
          <w:tcPr>
            <w:tcW w:w="1549" w:type="dxa"/>
            <w:tcBorders>
              <w:top w:val="single" w:color="000000" w:sz="4" w:space="0"/>
              <w:left w:val="single" w:color="000000" w:sz="4" w:space="0"/>
              <w:bottom w:val="single" w:color="auto" w:sz="4" w:space="0"/>
              <w:right w:val="single" w:color="000000" w:sz="4" w:space="0"/>
            </w:tcBorders>
            <w:noWrap/>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200个</w:t>
            </w:r>
          </w:p>
        </w:tc>
        <w:tc>
          <w:tcPr>
            <w:tcW w:w="1306" w:type="dxa"/>
            <w:tcBorders>
              <w:top w:val="single" w:color="000000" w:sz="4" w:space="0"/>
              <w:left w:val="single" w:color="000000" w:sz="4" w:space="0"/>
              <w:bottom w:val="single" w:color="auto" w:sz="4" w:space="0"/>
              <w:right w:val="single" w:color="000000" w:sz="4" w:space="0"/>
            </w:tcBorders>
            <w:noWrap/>
            <w:vAlign w:val="center"/>
          </w:tcPr>
          <w:p>
            <w:pPr>
              <w:widowControl/>
              <w:spacing w:line="360" w:lineRule="auto"/>
              <w:jc w:val="center"/>
              <w:textAlignment w:val="center"/>
              <w:rPr>
                <w:rFonts w:ascii="宋体" w:hAnsi="宋体" w:cs="宋体"/>
                <w:kern w:val="0"/>
                <w:szCs w:val="21"/>
                <w:lang w:bidi="ar"/>
              </w:rPr>
            </w:pPr>
            <w:r>
              <w:rPr>
                <w:rFonts w:hint="eastAsia" w:ascii="宋体" w:hAnsi="宋体" w:cs="宋体"/>
                <w:kern w:val="0"/>
                <w:szCs w:val="21"/>
                <w:lang w:bidi="ar"/>
              </w:rPr>
              <w:t>18万元</w:t>
            </w:r>
          </w:p>
        </w:tc>
      </w:tr>
      <w:tr>
        <w:tblPrEx>
          <w:tblCellMar>
            <w:top w:w="0" w:type="dxa"/>
            <w:left w:w="108" w:type="dxa"/>
            <w:bottom w:w="0" w:type="dxa"/>
            <w:right w:w="108" w:type="dxa"/>
          </w:tblCellMar>
        </w:tblPrEx>
        <w:trPr>
          <w:trHeight w:val="445" w:hRule="atLeast"/>
          <w:jc w:val="center"/>
        </w:trPr>
        <w:tc>
          <w:tcPr>
            <w:tcW w:w="9800" w:type="dxa"/>
            <w:gridSpan w:val="5"/>
            <w:tcBorders>
              <w:top w:val="single" w:color="auto" w:sz="4" w:space="0"/>
              <w:left w:val="single" w:color="000000" w:sz="4" w:space="0"/>
              <w:bottom w:val="single" w:color="000000" w:sz="4" w:space="0"/>
              <w:right w:val="single" w:color="000000" w:sz="4" w:space="0"/>
            </w:tcBorders>
            <w:noWrap/>
            <w:vAlign w:val="center"/>
          </w:tcPr>
          <w:p>
            <w:pPr>
              <w:spacing w:line="360" w:lineRule="auto"/>
              <w:jc w:val="left"/>
              <w:rPr>
                <w:rFonts w:ascii="宋体" w:hAnsi="宋体" w:cs="宋体"/>
                <w:bCs/>
                <w:szCs w:val="21"/>
              </w:rPr>
            </w:pPr>
            <w:r>
              <w:rPr>
                <w:rFonts w:hint="eastAsia" w:ascii="宋体" w:hAnsi="宋体" w:cs="宋体"/>
                <w:bCs/>
                <w:szCs w:val="21"/>
              </w:rPr>
              <w:t>说明：</w:t>
            </w:r>
          </w:p>
          <w:p>
            <w:pPr>
              <w:spacing w:line="360" w:lineRule="auto"/>
              <w:ind w:firstLine="420" w:firstLineChars="200"/>
              <w:jc w:val="left"/>
              <w:rPr>
                <w:rFonts w:ascii="宋体" w:hAnsi="宋体" w:cs="宋体"/>
                <w:bCs/>
                <w:szCs w:val="21"/>
              </w:rPr>
            </w:pPr>
            <w:r>
              <w:rPr>
                <w:rFonts w:hint="eastAsia" w:ascii="宋体" w:hAnsi="宋体" w:cs="宋体"/>
                <w:bCs/>
                <w:szCs w:val="21"/>
              </w:rPr>
              <w:t>1、投标人的投标文件必须标明所投货物的品牌与参数，保证原厂正品供货，提供相关资料等。</w:t>
            </w:r>
          </w:p>
          <w:p>
            <w:pPr>
              <w:spacing w:line="360" w:lineRule="auto"/>
              <w:ind w:firstLine="420" w:firstLineChars="200"/>
              <w:jc w:val="left"/>
              <w:rPr>
                <w:rFonts w:ascii="宋体" w:hAnsi="宋体" w:cs="宋体"/>
                <w:bCs/>
                <w:szCs w:val="21"/>
              </w:rPr>
            </w:pPr>
            <w:r>
              <w:rPr>
                <w:rFonts w:hint="eastAsia" w:ascii="宋体" w:hAnsi="宋体" w:cs="宋体"/>
                <w:bCs/>
                <w:szCs w:val="21"/>
              </w:rPr>
              <w:t>2、本项目一次性规划，分步实施，按实结算。本项目耗材进入我院SPD管理。</w:t>
            </w:r>
          </w:p>
          <w:p>
            <w:pPr>
              <w:spacing w:line="360" w:lineRule="auto"/>
              <w:ind w:firstLine="420" w:firstLineChars="200"/>
              <w:jc w:val="left"/>
              <w:rPr>
                <w:rFonts w:ascii="宋体" w:hAnsi="宋体" w:cs="宋体"/>
                <w:bCs/>
                <w:szCs w:val="21"/>
              </w:rPr>
            </w:pPr>
            <w:r>
              <w:rPr>
                <w:rFonts w:hint="eastAsia" w:ascii="宋体" w:hAnsi="宋体" w:cs="宋体"/>
                <w:bCs/>
                <w:szCs w:val="21"/>
              </w:rPr>
              <w:t>3、</w:t>
            </w:r>
            <w:r>
              <w:rPr>
                <w:rFonts w:hint="eastAsia" w:ascii="宋体" w:hAnsi="宋体" w:cs="宋体"/>
                <w:b/>
                <w:szCs w:val="21"/>
              </w:rPr>
              <w:t>投标人须承诺：（1）</w:t>
            </w:r>
            <w:r>
              <w:rPr>
                <w:rFonts w:hint="eastAsia" w:ascii="宋体" w:hAnsi="宋体" w:cs="宋体"/>
                <w:b/>
                <w:szCs w:val="21"/>
                <w:lang w:eastAsia="zh-CN"/>
              </w:rPr>
              <w:t>所投产品</w:t>
            </w:r>
            <w:r>
              <w:rPr>
                <w:rFonts w:hint="eastAsia" w:ascii="宋体" w:hAnsi="宋体" w:cs="宋体"/>
                <w:b/>
                <w:szCs w:val="21"/>
              </w:rPr>
              <w:t>如有两票制要求则须执行两票制相关要求；（2）</w:t>
            </w:r>
            <w:r>
              <w:rPr>
                <w:rFonts w:hint="eastAsia" w:ascii="宋体" w:hAnsi="宋体" w:cs="宋体"/>
                <w:b/>
                <w:szCs w:val="21"/>
                <w:lang w:eastAsia="zh-CN"/>
              </w:rPr>
              <w:t>所投产品</w:t>
            </w:r>
            <w:r>
              <w:rPr>
                <w:rFonts w:hint="eastAsia" w:ascii="宋体" w:hAnsi="宋体" w:cs="宋体"/>
                <w:b/>
                <w:szCs w:val="21"/>
              </w:rPr>
              <w:t>如在安徽省医药集中采购中心有相关要求，则须执行安徽省医药集中采购中心相关要求。本项须在投标文件中提供承诺函并加盖投标人公章。</w:t>
            </w:r>
          </w:p>
          <w:p>
            <w:pPr>
              <w:widowControl/>
              <w:spacing w:line="360" w:lineRule="auto"/>
              <w:ind w:firstLine="420" w:firstLineChars="200"/>
              <w:jc w:val="left"/>
              <w:textAlignment w:val="center"/>
              <w:rPr>
                <w:rFonts w:ascii="宋体" w:hAnsi="宋体" w:cs="宋体"/>
                <w:bCs/>
                <w:szCs w:val="21"/>
              </w:rPr>
            </w:pPr>
            <w:r>
              <w:rPr>
                <w:rFonts w:hint="eastAsia" w:ascii="宋体" w:hAnsi="宋体" w:cs="宋体"/>
                <w:bCs/>
                <w:szCs w:val="21"/>
              </w:rPr>
              <w:t>4、服务期内如遇国家、省医保带量采购等相关政策调整，按国家、省医保带量采购等相关政策执行。</w:t>
            </w:r>
          </w:p>
        </w:tc>
      </w:tr>
    </w:tbl>
    <w:p>
      <w:pPr>
        <w:widowControl/>
        <w:shd w:val="clear" w:color="auto" w:fill="FFFFFF"/>
        <w:spacing w:line="360" w:lineRule="auto"/>
        <w:ind w:firstLine="422"/>
        <w:rPr>
          <w:rFonts w:ascii="宋体" w:hAnsi="宋体" w:cs="宋体"/>
          <w:b/>
          <w:szCs w:val="21"/>
        </w:rPr>
      </w:pPr>
      <w:r>
        <w:rPr>
          <w:rFonts w:hint="eastAsia" w:ascii="宋体" w:hAnsi="宋体" w:cs="宋体"/>
          <w:b/>
          <w:szCs w:val="21"/>
        </w:rPr>
        <w:t>二、质量要求：</w:t>
      </w:r>
    </w:p>
    <w:p>
      <w:pPr>
        <w:spacing w:line="360" w:lineRule="auto"/>
        <w:ind w:firstLine="420" w:firstLineChars="200"/>
        <w:jc w:val="left"/>
        <w:rPr>
          <w:rFonts w:ascii="宋体" w:hAnsi="宋体" w:cs="宋体"/>
          <w:szCs w:val="21"/>
        </w:rPr>
      </w:pPr>
      <w:r>
        <w:rPr>
          <w:rFonts w:hint="eastAsia" w:ascii="宋体" w:hAnsi="宋体" w:cs="宋体"/>
          <w:szCs w:val="21"/>
        </w:rPr>
        <w:t>1、投标人提供的货物必须是全新、标识清楚、符合国家规定的质量标准或行业现行标准的要求。没有国家标准和行业标准的，应达到经主管部门批准的企业现行标准要求，符合采购人采购文件和投标人投标文件所要求的技术标准。杜绝证照不全、假冒、伪劣、过期、失效、淘汰或不合格的产品进入医院，否则，投标人承担由此造成的一切后果。</w:t>
      </w:r>
    </w:p>
    <w:p>
      <w:pPr>
        <w:spacing w:line="360" w:lineRule="auto"/>
        <w:ind w:firstLine="420" w:firstLineChars="200"/>
        <w:jc w:val="left"/>
        <w:rPr>
          <w:rFonts w:ascii="宋体" w:hAnsi="宋体" w:cs="宋体"/>
          <w:szCs w:val="21"/>
        </w:rPr>
      </w:pPr>
      <w:r>
        <w:rPr>
          <w:rFonts w:hint="eastAsia" w:ascii="宋体" w:hAnsi="宋体" w:cs="宋体"/>
          <w:szCs w:val="21"/>
        </w:rPr>
        <w:t>2、如有有效期要求的产品，其供货期距离有效期时间不得少于有效期的2/3。</w:t>
      </w:r>
    </w:p>
    <w:p>
      <w:pPr>
        <w:spacing w:line="360" w:lineRule="auto"/>
        <w:ind w:firstLine="420" w:firstLineChars="200"/>
        <w:jc w:val="left"/>
        <w:rPr>
          <w:rFonts w:ascii="宋体" w:hAnsi="宋体" w:cs="宋体"/>
          <w:szCs w:val="21"/>
        </w:rPr>
      </w:pPr>
      <w:r>
        <w:rPr>
          <w:rFonts w:hint="eastAsia" w:ascii="宋体" w:hAnsi="宋体" w:cs="宋体"/>
          <w:szCs w:val="21"/>
        </w:rPr>
        <w:t>3、保证是原产地生产的原装产品，否则视为假冒伪劣</w:t>
      </w:r>
      <w:r>
        <w:rPr>
          <w:rFonts w:ascii="宋体" w:hAnsi="宋体" w:cs="宋体"/>
          <w:szCs w:val="21"/>
        </w:rPr>
        <w:t>产品。</w:t>
      </w:r>
    </w:p>
    <w:p>
      <w:pPr>
        <w:pStyle w:val="5"/>
        <w:widowControl/>
        <w:numPr>
          <w:ilvl w:val="0"/>
          <w:numId w:val="2"/>
        </w:numPr>
        <w:shd w:val="clear" w:color="auto" w:fill="FFFFFF"/>
        <w:spacing w:line="360" w:lineRule="auto"/>
        <w:ind w:firstLineChars="0"/>
        <w:jc w:val="left"/>
      </w:pPr>
      <w:r>
        <w:rPr>
          <w:rFonts w:hint="eastAsia" w:ascii="宋体" w:hAnsi="宋体" w:cs="宋体"/>
          <w:b/>
          <w:szCs w:val="21"/>
        </w:rPr>
        <w:t>供货期</w:t>
      </w:r>
    </w:p>
    <w:p>
      <w:pPr>
        <w:pStyle w:val="5"/>
        <w:widowControl/>
        <w:shd w:val="clear" w:color="auto" w:fill="FFFFFF"/>
        <w:spacing w:line="360" w:lineRule="auto"/>
        <w:jc w:val="left"/>
      </w:pPr>
      <w:r>
        <w:rPr>
          <w:rFonts w:hint="eastAsia" w:ascii="宋体" w:hAnsi="宋体" w:cs="宋体"/>
          <w:szCs w:val="21"/>
        </w:rPr>
        <w:t>自合同签订之日起两年或采购费用总额达到中标总价时，以先到者为准，在供货期内按照采购人的要求分批供货，据实结算。</w:t>
      </w:r>
    </w:p>
    <w:p>
      <w:pPr>
        <w:spacing w:line="360" w:lineRule="auto"/>
        <w:ind w:firstLine="422"/>
        <w:jc w:val="left"/>
        <w:rPr>
          <w:rFonts w:ascii="宋体" w:hAnsi="宋体" w:cs="宋体"/>
          <w:szCs w:val="21"/>
        </w:rPr>
      </w:pPr>
      <w:r>
        <w:rPr>
          <w:rFonts w:hint="eastAsia" w:ascii="宋体" w:hAnsi="宋体" w:cs="宋体"/>
          <w:b/>
          <w:bCs/>
          <w:szCs w:val="21"/>
        </w:rPr>
        <w:t>四、供货及售后要求</w:t>
      </w:r>
    </w:p>
    <w:p>
      <w:pPr>
        <w:spacing w:line="360" w:lineRule="auto"/>
        <w:ind w:firstLine="420" w:firstLineChars="200"/>
        <w:jc w:val="left"/>
        <w:rPr>
          <w:rFonts w:ascii="宋体" w:hAnsi="宋体" w:cs="宋体"/>
          <w:szCs w:val="21"/>
        </w:rPr>
      </w:pPr>
      <w:r>
        <w:rPr>
          <w:rFonts w:hint="eastAsia" w:ascii="宋体" w:hAnsi="宋体" w:cs="宋体"/>
          <w:szCs w:val="21"/>
        </w:rPr>
        <w:t>1、投标人接到采购人供货通知，根据采购人通知的规格型号和数量按计划送货，按照采购人要求送至指定地点，负责运输。</w:t>
      </w:r>
    </w:p>
    <w:p>
      <w:pPr>
        <w:spacing w:line="360" w:lineRule="auto"/>
        <w:ind w:firstLine="420" w:firstLineChars="200"/>
        <w:jc w:val="left"/>
        <w:rPr>
          <w:rFonts w:ascii="宋体" w:hAnsi="宋体" w:cs="宋体"/>
          <w:szCs w:val="21"/>
        </w:rPr>
      </w:pPr>
      <w:r>
        <w:rPr>
          <w:rFonts w:hint="eastAsia" w:ascii="宋体" w:hAnsi="宋体" w:cs="宋体"/>
          <w:szCs w:val="21"/>
        </w:rPr>
        <w:t>2、中标人根据采购人采购计划进行供货，不允许超计划供货，超出计划的数量，采购人不予验收入库，由中标人无条件带回。</w:t>
      </w:r>
    </w:p>
    <w:p>
      <w:pPr>
        <w:spacing w:line="360" w:lineRule="auto"/>
        <w:ind w:firstLine="420" w:firstLineChars="200"/>
        <w:jc w:val="left"/>
        <w:rPr>
          <w:rFonts w:ascii="宋体" w:hAnsi="宋体" w:cs="宋体"/>
          <w:szCs w:val="21"/>
        </w:rPr>
      </w:pPr>
      <w:r>
        <w:rPr>
          <w:rFonts w:hint="eastAsia" w:ascii="宋体" w:hAnsi="宋体" w:cs="宋体"/>
          <w:szCs w:val="21"/>
        </w:rPr>
        <w:t>3、中标人所投的品牌货物在供货或使用过程中出现质量和使用问题，采购人有权要求更换，直至采购人满意，且不再另行支付任何费用。</w:t>
      </w:r>
    </w:p>
    <w:p>
      <w:pPr>
        <w:spacing w:line="360" w:lineRule="auto"/>
        <w:ind w:firstLine="420" w:firstLineChars="200"/>
        <w:jc w:val="left"/>
        <w:rPr>
          <w:rFonts w:ascii="宋体" w:hAnsi="宋体" w:cs="宋体"/>
          <w:szCs w:val="21"/>
        </w:rPr>
      </w:pPr>
      <w:r>
        <w:rPr>
          <w:rFonts w:hint="eastAsia" w:ascii="宋体" w:hAnsi="宋体" w:cs="宋体"/>
          <w:szCs w:val="21"/>
        </w:rPr>
        <w:t>4、按采购人实际需求进行供货，中标人须无条件满足采购人需求，确保供货质量并及时供货。</w:t>
      </w:r>
    </w:p>
    <w:p>
      <w:pPr>
        <w:widowControl/>
        <w:spacing w:line="360" w:lineRule="auto"/>
        <w:ind w:firstLine="422"/>
        <w:rPr>
          <w:rFonts w:ascii="宋体" w:hAnsi="宋体" w:cs="宋体"/>
          <w:b/>
          <w:szCs w:val="21"/>
        </w:rPr>
      </w:pPr>
      <w:r>
        <w:rPr>
          <w:rFonts w:hint="eastAsia" w:ascii="宋体" w:hAnsi="宋体" w:cs="宋体"/>
          <w:b/>
          <w:szCs w:val="21"/>
        </w:rPr>
        <w:t>五、验收</w:t>
      </w:r>
    </w:p>
    <w:p>
      <w:pPr>
        <w:snapToGrid w:val="0"/>
        <w:spacing w:line="360" w:lineRule="auto"/>
        <w:ind w:firstLine="420" w:firstLineChars="200"/>
        <w:rPr>
          <w:rFonts w:ascii="宋体" w:hAnsi="宋体" w:cs="宋体"/>
          <w:b/>
          <w:bCs/>
          <w:snapToGrid w:val="0"/>
          <w:szCs w:val="21"/>
        </w:rPr>
      </w:pPr>
      <w:r>
        <w:rPr>
          <w:rFonts w:hint="eastAsia" w:ascii="宋体" w:hAnsi="宋体" w:cs="宋体"/>
          <w:szCs w:val="21"/>
        </w:rPr>
        <w:t>验收时采购人和中标人双方共同实施验收工作，验收合格后，结果和验收报告经双方确认后生效。</w:t>
      </w:r>
      <w:r>
        <w:rPr>
          <w:rFonts w:hint="eastAsia" w:ascii="宋体" w:hAnsi="宋体" w:cs="宋体"/>
          <w:szCs w:val="21"/>
        </w:rPr>
        <w:br w:type="textWrapping"/>
      </w:r>
      <w:r>
        <w:rPr>
          <w:rFonts w:hint="eastAsia" w:ascii="宋体" w:hAnsi="宋体" w:cs="宋体"/>
          <w:szCs w:val="21"/>
          <w:lang w:val="en-US" w:eastAsia="zh-CN"/>
        </w:rPr>
        <w:t xml:space="preserve">    </w:t>
      </w:r>
      <w:r>
        <w:rPr>
          <w:rFonts w:hint="eastAsia" w:ascii="宋体" w:hAnsi="宋体" w:cs="宋体"/>
          <w:b/>
          <w:bCs/>
          <w:snapToGrid w:val="0"/>
          <w:szCs w:val="21"/>
        </w:rPr>
        <w:t>六、报价要求</w:t>
      </w:r>
    </w:p>
    <w:p>
      <w:pPr>
        <w:spacing w:line="360" w:lineRule="auto"/>
        <w:ind w:firstLine="420" w:firstLineChars="200"/>
        <w:rPr>
          <w:rFonts w:ascii="宋体" w:hAnsi="宋体" w:cs="宋体"/>
          <w:szCs w:val="21"/>
        </w:rPr>
      </w:pPr>
      <w:r>
        <w:rPr>
          <w:rFonts w:hint="eastAsia" w:ascii="宋体" w:hAnsi="宋体" w:cs="宋体"/>
          <w:snapToGrid w:val="0"/>
          <w:szCs w:val="21"/>
        </w:rPr>
        <w:t>投标人按</w:t>
      </w:r>
      <w:r>
        <w:rPr>
          <w:rFonts w:hint="eastAsia"/>
          <w:szCs w:val="21"/>
        </w:rPr>
        <w:t>总价</w:t>
      </w:r>
      <w:r>
        <w:rPr>
          <w:rFonts w:hint="eastAsia" w:ascii="宋体" w:hAnsi="宋体" w:cs="宋体"/>
          <w:snapToGrid w:val="0"/>
          <w:szCs w:val="21"/>
        </w:rPr>
        <w:t>进行报价，其</w:t>
      </w:r>
      <w:r>
        <w:rPr>
          <w:rFonts w:hint="eastAsia" w:ascii="宋体" w:hAnsi="宋体"/>
          <w:szCs w:val="21"/>
        </w:rPr>
        <w:t>投标报价不得高于最高限价</w:t>
      </w:r>
      <w:r>
        <w:rPr>
          <w:rFonts w:hint="eastAsia"/>
          <w:szCs w:val="21"/>
        </w:rPr>
        <w:t>。</w:t>
      </w:r>
      <w:r>
        <w:rPr>
          <w:rFonts w:hint="eastAsia" w:ascii="宋体" w:hAnsi="宋体" w:cs="宋体"/>
          <w:szCs w:val="21"/>
        </w:rPr>
        <w:t>报价应包含产品费用、</w:t>
      </w:r>
      <w:r>
        <w:rPr>
          <w:rFonts w:ascii="宋体" w:hAnsi="宋体" w:cs="宋体"/>
          <w:szCs w:val="21"/>
        </w:rPr>
        <w:t>运费(多次分批量送货</w:t>
      </w:r>
      <w:r>
        <w:rPr>
          <w:rFonts w:hint="eastAsia" w:ascii="宋体" w:hAnsi="宋体" w:cs="宋体"/>
          <w:szCs w:val="21"/>
        </w:rPr>
        <w:t>，含装卸力资）、</w:t>
      </w:r>
      <w:r>
        <w:rPr>
          <w:rFonts w:ascii="宋体" w:hAnsi="宋体" w:cs="宋体"/>
          <w:szCs w:val="21"/>
        </w:rPr>
        <w:t>税费</w:t>
      </w:r>
      <w:r>
        <w:rPr>
          <w:rFonts w:hint="eastAsia" w:ascii="宋体" w:hAnsi="宋体" w:cs="宋体"/>
          <w:szCs w:val="21"/>
        </w:rPr>
        <w:t>、</w:t>
      </w:r>
      <w:r>
        <w:rPr>
          <w:rFonts w:hint="eastAsia" w:ascii="宋体" w:hAnsi="宋体" w:cs="宋体"/>
          <w:szCs w:val="21"/>
          <w:lang w:val="zh-CN"/>
        </w:rPr>
        <w:t>检验</w:t>
      </w:r>
      <w:r>
        <w:rPr>
          <w:rFonts w:hint="eastAsia" w:ascii="宋体" w:hAnsi="宋体" w:cs="宋体"/>
          <w:szCs w:val="21"/>
        </w:rPr>
        <w:t>费</w:t>
      </w:r>
      <w:r>
        <w:rPr>
          <w:rFonts w:hint="eastAsia" w:ascii="宋体" w:hAnsi="宋体" w:cs="宋体"/>
          <w:szCs w:val="21"/>
          <w:lang w:val="zh-CN"/>
        </w:rPr>
        <w:t>、</w:t>
      </w:r>
      <w:r>
        <w:rPr>
          <w:rFonts w:ascii="宋体" w:hAnsi="宋体" w:cs="宋体"/>
          <w:szCs w:val="21"/>
        </w:rPr>
        <w:t>保险费、</w:t>
      </w:r>
      <w:r>
        <w:rPr>
          <w:rFonts w:hint="eastAsia" w:ascii="宋体" w:hAnsi="宋体" w:cs="宋体"/>
          <w:szCs w:val="21"/>
        </w:rPr>
        <w:t>仓储费、包装费、售后服务等为完成本项目所必须的其他辅助工作的相关费用等所有费用。投标人应结合采购需求及自身情况合理报价，一旦中标，中标单价后期将不作任何调整。</w:t>
      </w:r>
    </w:p>
    <w:p>
      <w:pPr>
        <w:widowControl/>
        <w:spacing w:line="360" w:lineRule="auto"/>
        <w:ind w:firstLine="422"/>
        <w:rPr>
          <w:rFonts w:ascii="宋体" w:hAnsi="宋体" w:cs="宋体"/>
          <w:b/>
          <w:szCs w:val="21"/>
        </w:rPr>
      </w:pPr>
      <w:r>
        <w:rPr>
          <w:rFonts w:hint="eastAsia" w:ascii="宋体" w:hAnsi="宋体" w:cs="宋体"/>
          <w:b/>
          <w:szCs w:val="21"/>
        </w:rPr>
        <w:t>七、付款方式</w:t>
      </w:r>
    </w:p>
    <w:p>
      <w:pPr>
        <w:spacing w:line="360" w:lineRule="auto"/>
        <w:ind w:firstLine="420" w:firstLineChars="200"/>
        <w:rPr>
          <w:rFonts w:ascii="宋体" w:hAnsi="宋体" w:cs="宋体"/>
          <w:szCs w:val="21"/>
        </w:rPr>
      </w:pPr>
      <w:r>
        <w:rPr>
          <w:rFonts w:hint="eastAsia" w:ascii="宋体" w:hAnsi="宋体" w:cs="宋体"/>
          <w:szCs w:val="21"/>
        </w:rPr>
        <w:t>本项目一次性规划，分步实施，按实结算，货到验收合格、收到正规发票后6个月内付款。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1">
    <w:nsid w:val="44843BBD"/>
    <w:multiLevelType w:val="multilevel"/>
    <w:tmpl w:val="44843BBD"/>
    <w:lvl w:ilvl="0" w:tentative="0">
      <w:start w:val="3"/>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49B802A2"/>
    <w:rsid w:val="49B80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 New"/>
    <w:basedOn w:val="1"/>
    <w:autoRedefine/>
    <w:qFormat/>
    <w:uiPriority w:val="0"/>
    <w:pPr>
      <w:spacing w:before="100" w:beforeAutospacing="1" w:after="100" w:afterAutospacing="1" w:line="440" w:lineRule="exact"/>
      <w:ind w:left="357" w:hanging="357"/>
    </w:pPr>
    <w:rPr>
      <w:szCs w:val="21"/>
    </w:rPr>
  </w:style>
  <w:style w:type="paragraph" w:styleId="5">
    <w:name w:val="List Paragraph"/>
    <w:basedOn w:val="1"/>
    <w:autoRedefine/>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2024-01-30T03:43:00Z</dcterms:created>
  <dc:creator>兔子爱上了窝边草</dc:creator>
  <cp:lastModifiedBy>兔子爱上了窝边草</cp:lastModifiedBy>
  <dcterms:modified xsi:type="dcterms:W3CDTF">2024-01-30T03:44:46Z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6725B9B986B94C8B9D5F3FC94EDEB506_11</vt:lpwstr>
  </property>
</Properties>
</file>