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numId w:val="0"/>
        </w:numPr>
        <w:jc w:val="center"/>
        <w:rPr>
          <w:color w:val="auto"/>
          <w:sz w:val="30"/>
          <w:szCs w:val="30"/>
          <w:highlight w:val="none"/>
        </w:rPr>
      </w:pPr>
      <w:bookmarkStart w:id="5" w:name="_GoBack"/>
      <w:bookmarkStart w:id="0" w:name="_Toc16751"/>
      <w:bookmarkStart w:id="1" w:name="_Toc31958"/>
      <w:r>
        <w:rPr>
          <w:rFonts w:hint="eastAsia"/>
          <w:color w:val="auto"/>
          <w:sz w:val="30"/>
          <w:szCs w:val="30"/>
          <w:highlight w:val="none"/>
        </w:rPr>
        <w:t>货物需求及技术要求</w:t>
      </w:r>
      <w:bookmarkEnd w:id="0"/>
      <w:bookmarkEnd w:id="1"/>
    </w:p>
    <w:bookmarkEnd w:id="5"/>
    <w:p>
      <w:pPr>
        <w:widowControl/>
        <w:spacing w:line="360" w:lineRule="auto"/>
        <w:ind w:firstLine="430"/>
        <w:jc w:val="left"/>
        <w:rPr>
          <w:rFonts w:ascii="宋体" w:hAnsi="宋体"/>
          <w:color w:val="auto"/>
          <w:szCs w:val="21"/>
          <w:highlight w:val="none"/>
        </w:rPr>
      </w:pPr>
      <w:bookmarkStart w:id="2" w:name="_Toc12315"/>
      <w:bookmarkStart w:id="3" w:name="_Toc24523"/>
      <w:bookmarkStart w:id="4" w:name="_Toc7241"/>
      <w:r>
        <w:rPr>
          <w:rFonts w:hint="eastAsia" w:ascii="宋体" w:hAnsi="宋体"/>
          <w:color w:val="auto"/>
          <w:szCs w:val="21"/>
          <w:highlight w:val="none"/>
        </w:rPr>
        <w:t>为鼓励不同品牌的充分竞争，如某设备的某技术参数或要求属于个别品牌专有，则该技术参数及要求不具有限制性，投标人可对该参数或要求进行适当调整，但这种调整整体上要优于或相当于采购文件的相关要求，并说明调整理由，且该调整须经评委会审核认可。</w:t>
      </w:r>
    </w:p>
    <w:p>
      <w:pPr>
        <w:widowControl/>
        <w:numPr>
          <w:ilvl w:val="0"/>
          <w:numId w:val="1"/>
        </w:numPr>
        <w:spacing w:line="360" w:lineRule="auto"/>
        <w:jc w:val="left"/>
        <w:rPr>
          <w:b/>
          <w:bCs/>
          <w:color w:val="auto"/>
          <w:highlight w:val="none"/>
        </w:rPr>
      </w:pPr>
      <w:r>
        <w:rPr>
          <w:rFonts w:hint="eastAsia"/>
          <w:b/>
          <w:bCs/>
          <w:color w:val="auto"/>
          <w:highlight w:val="none"/>
        </w:rPr>
        <w:t>货物需求一览表</w:t>
      </w:r>
      <w:bookmarkEnd w:id="2"/>
      <w:bookmarkEnd w:id="3"/>
      <w:bookmarkEnd w:id="4"/>
    </w:p>
    <w:tbl>
      <w:tblPr>
        <w:tblStyle w:val="6"/>
        <w:tblpPr w:leftFromText="180" w:rightFromText="180" w:vertAnchor="text" w:horzAnchor="page" w:tblpX="1083" w:tblpY="104"/>
        <w:tblOverlap w:val="never"/>
        <w:tblW w:w="100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1717"/>
        <w:gridCol w:w="5363"/>
        <w:gridCol w:w="1172"/>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494" w:type="dxa"/>
            <w:vAlign w:val="center"/>
          </w:tcPr>
          <w:p>
            <w:pPr>
              <w:spacing w:line="24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包号</w:t>
            </w:r>
          </w:p>
        </w:tc>
        <w:tc>
          <w:tcPr>
            <w:tcW w:w="1717" w:type="dxa"/>
            <w:vAlign w:val="center"/>
          </w:tcPr>
          <w:p>
            <w:pPr>
              <w:spacing w:line="2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名称</w:t>
            </w:r>
          </w:p>
        </w:tc>
        <w:tc>
          <w:tcPr>
            <w:tcW w:w="5363" w:type="dxa"/>
            <w:tcBorders>
              <w:top w:val="single" w:color="auto" w:sz="4" w:space="0"/>
            </w:tcBorders>
            <w:vAlign w:val="center"/>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技术</w:t>
            </w:r>
            <w:r>
              <w:rPr>
                <w:rFonts w:hint="eastAsia" w:ascii="宋体" w:hAnsi="宋体" w:eastAsia="宋体" w:cs="宋体"/>
                <w:color w:val="auto"/>
                <w:kern w:val="0"/>
                <w:sz w:val="21"/>
                <w:szCs w:val="21"/>
                <w:highlight w:val="none"/>
                <w:lang w:bidi="ar"/>
              </w:rPr>
              <w:t>参数</w:t>
            </w:r>
          </w:p>
        </w:tc>
        <w:tc>
          <w:tcPr>
            <w:tcW w:w="1172" w:type="dxa"/>
            <w:tcBorders>
              <w:top w:val="single" w:color="auto" w:sz="4" w:space="0"/>
            </w:tcBorders>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三年约使用量</w:t>
            </w:r>
          </w:p>
        </w:tc>
        <w:tc>
          <w:tcPr>
            <w:tcW w:w="1339" w:type="dxa"/>
            <w:tcBorders>
              <w:top w:val="single" w:color="auto" w:sz="4" w:space="0"/>
            </w:tcBorders>
          </w:tcPr>
          <w:p>
            <w:pPr>
              <w:widowControl/>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采购限价（元）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494"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17"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血液回收离心杯</w:t>
            </w:r>
          </w:p>
        </w:tc>
        <w:tc>
          <w:tcPr>
            <w:tcW w:w="5363" w:type="dxa"/>
            <w:vMerge w:val="restart"/>
            <w:vAlign w:val="center"/>
          </w:tcPr>
          <w:p>
            <w:pPr>
              <w:numPr>
                <w:ilvl w:val="0"/>
                <w:numId w:val="2"/>
              </w:numPr>
              <w:spacing w:line="2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适用术中自体血回输技术；</w:t>
            </w:r>
          </w:p>
          <w:p>
            <w:pPr>
              <w:numPr>
                <w:ilvl w:val="0"/>
                <w:numId w:val="2"/>
              </w:numPr>
              <w:spacing w:line="2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适配万东康源BW-8100A自体血液回收机使用；</w:t>
            </w:r>
          </w:p>
          <w:p>
            <w:pPr>
              <w:numPr>
                <w:ilvl w:val="0"/>
                <w:numId w:val="2"/>
              </w:numPr>
              <w:spacing w:line="2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配套耗材分为独立包装</w:t>
            </w:r>
          </w:p>
          <w:p>
            <w:pPr>
              <w:numPr>
                <w:ilvl w:val="0"/>
                <w:numId w:val="2"/>
              </w:numPr>
              <w:spacing w:line="2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一次性使用贮血滤血器过滤孔径≤40μm</w:t>
            </w:r>
          </w:p>
          <w:p>
            <w:pPr>
              <w:numPr>
                <w:ilvl w:val="0"/>
                <w:numId w:val="2"/>
              </w:numPr>
              <w:spacing w:line="2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离心杯容量规格不少于225ml规格；</w:t>
            </w:r>
          </w:p>
        </w:tc>
        <w:tc>
          <w:tcPr>
            <w:tcW w:w="117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120套</w:t>
            </w:r>
          </w:p>
        </w:tc>
        <w:tc>
          <w:tcPr>
            <w:tcW w:w="1339"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600元/套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trPr>
        <w:tc>
          <w:tcPr>
            <w:tcW w:w="494" w:type="dxa"/>
            <w:vAlign w:val="center"/>
          </w:tcPr>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17" w:type="dxa"/>
            <w:vAlign w:val="center"/>
          </w:tcPr>
          <w:p>
            <w:pPr>
              <w:spacing w:line="240" w:lineRule="exact"/>
              <w:jc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血液回收管路</w:t>
            </w:r>
          </w:p>
          <w:p>
            <w:pPr>
              <w:spacing w:line="2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rPr>
              <w:t>双管和一次性使用贮血滤血器部分</w:t>
            </w:r>
            <w:r>
              <w:rPr>
                <w:rFonts w:hint="eastAsia" w:ascii="宋体" w:hAnsi="宋体" w:eastAsia="宋体" w:cs="宋体"/>
                <w:color w:val="auto"/>
                <w:kern w:val="0"/>
                <w:sz w:val="21"/>
                <w:szCs w:val="21"/>
                <w:highlight w:val="none"/>
                <w:lang w:bidi="ar"/>
              </w:rPr>
              <w:t>）</w:t>
            </w:r>
          </w:p>
        </w:tc>
        <w:tc>
          <w:tcPr>
            <w:tcW w:w="5363" w:type="dxa"/>
            <w:vMerge w:val="continue"/>
            <w:vAlign w:val="center"/>
          </w:tcPr>
          <w:p>
            <w:pPr>
              <w:spacing w:line="240" w:lineRule="exact"/>
              <w:jc w:val="left"/>
              <w:rPr>
                <w:rFonts w:hint="eastAsia" w:ascii="宋体" w:hAnsi="宋体" w:eastAsia="宋体" w:cs="宋体"/>
                <w:color w:val="auto"/>
                <w:sz w:val="21"/>
                <w:szCs w:val="21"/>
                <w:highlight w:val="none"/>
              </w:rPr>
            </w:pPr>
          </w:p>
        </w:tc>
        <w:tc>
          <w:tcPr>
            <w:tcW w:w="1172"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120套</w:t>
            </w:r>
          </w:p>
        </w:tc>
        <w:tc>
          <w:tcPr>
            <w:tcW w:w="1339" w:type="dxa"/>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350元/套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10085" w:type="dxa"/>
            <w:gridSpan w:val="5"/>
            <w:vAlign w:val="center"/>
          </w:tcPr>
          <w:p>
            <w:pPr>
              <w:spacing w:line="400" w:lineRule="exact"/>
              <w:rPr>
                <w:b/>
                <w:bCs/>
                <w:color w:val="auto"/>
                <w:sz w:val="21"/>
                <w:szCs w:val="21"/>
                <w:highlight w:val="none"/>
              </w:rPr>
            </w:pPr>
            <w:r>
              <w:rPr>
                <w:rFonts w:hint="eastAsia"/>
                <w:b/>
                <w:bCs/>
                <w:color w:val="auto"/>
                <w:sz w:val="21"/>
                <w:szCs w:val="21"/>
                <w:highlight w:val="none"/>
              </w:rPr>
              <w:t>1、投标人的投标文件必须标明所投货物的品牌与参数，保证原厂正品供货，提供相关资料等；</w:t>
            </w:r>
          </w:p>
          <w:p>
            <w:pPr>
              <w:spacing w:line="400" w:lineRule="exact"/>
              <w:rPr>
                <w:b/>
                <w:bCs/>
                <w:color w:val="auto"/>
                <w:sz w:val="21"/>
                <w:szCs w:val="21"/>
                <w:highlight w:val="none"/>
              </w:rPr>
            </w:pPr>
            <w:r>
              <w:rPr>
                <w:rFonts w:hint="eastAsia"/>
                <w:b/>
                <w:bCs/>
                <w:color w:val="auto"/>
                <w:sz w:val="21"/>
                <w:szCs w:val="21"/>
                <w:highlight w:val="none"/>
              </w:rPr>
              <w:t>2、本项目一次性规划，分步实施，按实结算。本项目耗材进入采购人SPD管理。服务期内如遇国家、省医保带量采购等相关政策调整，按国家、省医保带量采购等相关政策执行；</w:t>
            </w:r>
          </w:p>
          <w:p>
            <w:pPr>
              <w:spacing w:line="400" w:lineRule="exact"/>
              <w:rPr>
                <w:b/>
                <w:bCs/>
                <w:color w:val="auto"/>
                <w:sz w:val="21"/>
                <w:szCs w:val="21"/>
                <w:highlight w:val="none"/>
              </w:rPr>
            </w:pPr>
            <w:r>
              <w:rPr>
                <w:rFonts w:hint="eastAsia"/>
                <w:b/>
                <w:bCs/>
                <w:color w:val="auto"/>
                <w:sz w:val="21"/>
                <w:szCs w:val="21"/>
                <w:highlight w:val="none"/>
              </w:rPr>
              <w:t>3、投标人须承诺：（1）所投产品如有两票制要求则须执行两票制相关要求；（2）所投产品如安徽省医药集中采购中心有相关要求，则须执行安徽省医药集中采购中心相关要求。本项须提供承诺函加盖投标人公章；</w:t>
            </w:r>
          </w:p>
          <w:p>
            <w:pPr>
              <w:spacing w:line="400" w:lineRule="exact"/>
              <w:rPr>
                <w:b/>
                <w:bCs/>
                <w:color w:val="auto"/>
                <w:sz w:val="21"/>
                <w:szCs w:val="21"/>
                <w:highlight w:val="none"/>
              </w:rPr>
            </w:pPr>
            <w:r>
              <w:rPr>
                <w:rFonts w:hint="eastAsia"/>
                <w:b/>
                <w:bCs/>
                <w:color w:val="auto"/>
                <w:sz w:val="21"/>
                <w:szCs w:val="21"/>
                <w:highlight w:val="none"/>
              </w:rPr>
              <w:t>4、中标人供货价格计算方式如下：最高限价（单价）×中标费率=供货价格（单价）（如所投产品的安徽省医药集中采购中心平台限价低于该项目最高限价（单价）则按平台限价（单价）×中标费率=供货价格（单价）</w:t>
            </w:r>
          </w:p>
          <w:p>
            <w:pPr>
              <w:spacing w:line="240" w:lineRule="exact"/>
              <w:jc w:val="left"/>
              <w:rPr>
                <w:rFonts w:asciiTheme="minorEastAsia" w:hAnsiTheme="minorEastAsia"/>
                <w:bCs/>
                <w:color w:val="auto"/>
                <w:sz w:val="21"/>
                <w:szCs w:val="21"/>
                <w:highlight w:val="none"/>
              </w:rPr>
            </w:pPr>
            <w:r>
              <w:rPr>
                <w:rFonts w:hint="eastAsia"/>
                <w:b/>
                <w:bCs/>
                <w:color w:val="auto"/>
                <w:sz w:val="21"/>
                <w:szCs w:val="21"/>
                <w:highlight w:val="none"/>
              </w:rPr>
              <w:t>5、</w:t>
            </w:r>
            <w:r>
              <w:rPr>
                <w:rFonts w:hint="eastAsia"/>
                <w:b/>
                <w:bCs/>
                <w:color w:val="auto"/>
                <w:sz w:val="21"/>
                <w:szCs w:val="21"/>
                <w:highlight w:val="none"/>
                <w:lang w:eastAsia="zh-CN"/>
              </w:rPr>
              <w:t>三年</w:t>
            </w:r>
            <w:r>
              <w:rPr>
                <w:rFonts w:hint="eastAsia"/>
                <w:b/>
                <w:bCs/>
                <w:color w:val="auto"/>
                <w:sz w:val="21"/>
                <w:szCs w:val="21"/>
                <w:highlight w:val="none"/>
                <w:lang w:val="en-US" w:eastAsia="zh-CN"/>
              </w:rPr>
              <w:t>约</w:t>
            </w:r>
            <w:r>
              <w:rPr>
                <w:rFonts w:hint="eastAsia"/>
                <w:b/>
                <w:bCs/>
                <w:color w:val="auto"/>
                <w:sz w:val="21"/>
                <w:szCs w:val="21"/>
                <w:highlight w:val="none"/>
              </w:rPr>
              <w:t>使用量仅代表医院过去</w:t>
            </w:r>
            <w:r>
              <w:rPr>
                <w:rFonts w:hint="eastAsia"/>
                <w:b/>
                <w:bCs/>
                <w:color w:val="auto"/>
                <w:sz w:val="21"/>
                <w:szCs w:val="21"/>
                <w:highlight w:val="none"/>
                <w:lang w:val="en-US" w:eastAsia="zh-CN"/>
              </w:rPr>
              <w:t>3</w:t>
            </w:r>
            <w:r>
              <w:rPr>
                <w:rFonts w:hint="eastAsia"/>
                <w:b/>
                <w:bCs/>
                <w:color w:val="auto"/>
                <w:sz w:val="21"/>
                <w:szCs w:val="21"/>
                <w:highlight w:val="none"/>
              </w:rPr>
              <w:t>年使用估量，仅供投标人报价时参考。</w:t>
            </w:r>
          </w:p>
        </w:tc>
      </w:tr>
    </w:tbl>
    <w:p>
      <w:pPr>
        <w:widowControl/>
        <w:shd w:val="clear" w:color="auto" w:fill="FFFFFF"/>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二、质量要求：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供应商承担由此造成的一切后果。</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2.保证投标产品的质量，具有有效期要求的产品，则其供货期距离有效期时间不得少于有效期的2/3。</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3.保证是原产地生产的原装产品，否则视为假冒伪劣</w:t>
      </w:r>
      <w:r>
        <w:rPr>
          <w:rFonts w:ascii="宋体" w:hAnsi="宋体" w:cs="宋体"/>
          <w:color w:val="auto"/>
          <w:szCs w:val="21"/>
          <w:highlight w:val="none"/>
        </w:rPr>
        <w:t>产品。</w:t>
      </w:r>
    </w:p>
    <w:p>
      <w:pPr>
        <w:pStyle w:val="8"/>
        <w:widowControl/>
        <w:numPr>
          <w:ilvl w:val="0"/>
          <w:numId w:val="0"/>
        </w:numPr>
        <w:shd w:val="clear" w:color="auto" w:fill="FFFFFF"/>
        <w:spacing w:line="360" w:lineRule="auto"/>
        <w:ind w:leftChars="0"/>
        <w:jc w:val="left"/>
        <w:rPr>
          <w:color w:val="auto"/>
          <w:highlight w:val="none"/>
        </w:rPr>
      </w:pPr>
      <w:r>
        <w:rPr>
          <w:rFonts w:hint="eastAsia" w:ascii="宋体" w:hAnsi="宋体" w:cs="宋体"/>
          <w:b/>
          <w:color w:val="auto"/>
          <w:szCs w:val="21"/>
          <w:highlight w:val="none"/>
          <w:lang w:val="en-US" w:eastAsia="zh-CN"/>
        </w:rPr>
        <w:t xml:space="preserve">   三、</w:t>
      </w:r>
      <w:r>
        <w:rPr>
          <w:rFonts w:hint="eastAsia" w:ascii="宋体" w:hAnsi="宋体" w:cs="宋体"/>
          <w:b/>
          <w:color w:val="auto"/>
          <w:szCs w:val="21"/>
          <w:highlight w:val="none"/>
        </w:rPr>
        <w:t>供货期：</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自合同签订之日起</w:t>
      </w:r>
      <w:r>
        <w:rPr>
          <w:rFonts w:hint="eastAsia" w:ascii="宋体" w:hAnsi="宋体" w:cs="宋体"/>
          <w:color w:val="auto"/>
          <w:szCs w:val="21"/>
          <w:highlight w:val="none"/>
          <w:lang w:eastAsia="zh-CN"/>
        </w:rPr>
        <w:t>三年</w:t>
      </w:r>
      <w:r>
        <w:rPr>
          <w:rFonts w:hint="eastAsia" w:ascii="宋体" w:hAnsi="宋体" w:cs="宋体"/>
          <w:color w:val="auto"/>
          <w:szCs w:val="21"/>
          <w:highlight w:val="none"/>
        </w:rPr>
        <w:t>或采购费用总额达到本项目总中标价（预算金额×中标费率）时，以先到者为准，在供货期内按照采购人的要求分批供货，据实结算。</w:t>
      </w:r>
    </w:p>
    <w:p>
      <w:pPr>
        <w:spacing w:line="440" w:lineRule="exact"/>
        <w:ind w:firstLine="422" w:firstLineChars="200"/>
        <w:jc w:val="left"/>
        <w:rPr>
          <w:rFonts w:ascii="宋体" w:hAnsi="宋体" w:cs="宋体"/>
          <w:color w:val="auto"/>
          <w:szCs w:val="21"/>
          <w:highlight w:val="none"/>
        </w:rPr>
      </w:pPr>
      <w:r>
        <w:rPr>
          <w:rFonts w:hint="eastAsia" w:ascii="宋体" w:hAnsi="宋体" w:cs="宋体"/>
          <w:b/>
          <w:bCs/>
          <w:color w:val="auto"/>
          <w:szCs w:val="21"/>
          <w:highlight w:val="none"/>
        </w:rPr>
        <w:t>四、供货及售后要求</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1.中标人接到采购人供货通知，根据采购人通知的规格型号和数量按计划送货，按照采购人要求送至指定地点，负责运输。</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2.中标人根据采购人采购计划进行供货，不允许超计划供货，超出计划的数量，采购人不予验收入库，由中标人无条件带回。</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3.中标人所投的品牌货物在供货或使用过程中出现质量和使用问题，采购人有权要求更换，直至采购人满意，且不再另行支付任何费用。</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4.按采购人实际需求进行供货，中标人须无条件满足采购人需求，确保供货质量并及时供货。</w:t>
      </w:r>
    </w:p>
    <w:p>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五、验收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验收时采购人和中标人双方共同实施验收工作，验收合格后，结果和验收报告经双方确认后生效。</w:t>
      </w:r>
    </w:p>
    <w:p>
      <w:pPr>
        <w:widowControl/>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六、付款方式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本项目一次性规划，分步实施，按实结算，货到验收合格、收到正规发票后6个月内付款。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1">
    <w:nsid w:val="31FE37F2"/>
    <w:multiLevelType w:val="singleLevel"/>
    <w:tmpl w:val="31FE37F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2UzYjEyYzhkNWI2NDkxNzA5YmY3MGM2ZTc5YWEifQ=="/>
  </w:docVars>
  <w:rsids>
    <w:rsidRoot w:val="00000000"/>
    <w:rsid w:val="2659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2024-03-25T21:36:53Z</dcterms:created>
  <dc:creator>0520</dc:creator>
  <cp:lastModifiedBy>WPS_1708669092</cp:lastModifiedBy>
  <dcterms:modified xsi:type="dcterms:W3CDTF">2024-03-25T21:37:45Z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A5776D9336C84DCE8C31F8A8F2BFF171_12</vt:lpwstr>
  </property>
</Properties>
</file>