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C3AC">
      <w:pPr>
        <w:spacing w:line="480" w:lineRule="exact"/>
        <w:jc w:val="center"/>
        <w:rPr>
          <w:rFonts w:hint="eastAsia" w:ascii="宋体" w:hAnsi="宋体" w:eastAsia="宋体" w:cs="宋体"/>
          <w:b/>
          <w:bCs/>
          <w:color w:val="auto"/>
          <w:sz w:val="24"/>
          <w:szCs w:val="24"/>
          <w:highlight w:val="none"/>
        </w:rPr>
      </w:pPr>
      <w:r>
        <w:rPr>
          <w:rFonts w:hint="eastAsia" w:ascii="宋体" w:hAnsi="宋体" w:cs="宋体"/>
          <w:b/>
          <w:color w:val="auto"/>
          <w:kern w:val="2"/>
          <w:sz w:val="32"/>
          <w:szCs w:val="32"/>
          <w:highlight w:val="none"/>
          <w:lang w:val="zh-CN" w:eastAsia="zh-CN" w:bidi="ar-SA"/>
        </w:rPr>
        <w:t>采购需求</w:t>
      </w:r>
    </w:p>
    <w:p w14:paraId="5D29667E">
      <w:pPr>
        <w:pStyle w:val="2"/>
        <w:spacing w:before="182" w:line="332" w:lineRule="auto"/>
        <w:ind w:left="119" w:right="38" w:firstLine="45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14:paraId="2EAD05F4">
      <w:pPr>
        <w:widowControl/>
        <w:spacing w:line="5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下列采购需求中标注进口产品的货物均已履行相关论证手续，经核准采购进口产品，但不限制满足</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文件要求的国内产品参与竞争。未标注进口产品的货物均为拒绝采购进口产品。</w:t>
      </w:r>
    </w:p>
    <w:p w14:paraId="149A5F01">
      <w:pPr>
        <w:pStyle w:val="2"/>
        <w:spacing w:before="182" w:line="332" w:lineRule="auto"/>
        <w:ind w:right="38"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2、在采购活动开始前没有获准采购进口产品而开展采购活动的，视同为拒绝采购进口产品。</w:t>
      </w:r>
      <w:bookmarkStart w:id="2" w:name="_GoBack"/>
      <w:bookmarkEnd w:id="2"/>
    </w:p>
    <w:p w14:paraId="30FEFAE4">
      <w:pPr>
        <w:pStyle w:val="2"/>
        <w:spacing w:before="182" w:line="332" w:lineRule="auto"/>
        <w:ind w:right="38"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3、中标人提供的货物为进口产品的，供货时须向采购人提供所投进口产品的海关报关单等证明材料</w:t>
      </w:r>
    </w:p>
    <w:p w14:paraId="19F5CF57">
      <w:pPr>
        <w:widowControl/>
        <w:numPr>
          <w:ilvl w:val="0"/>
          <w:numId w:val="0"/>
        </w:numPr>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货物需求一览表</w:t>
      </w:r>
      <w:bookmarkStart w:id="0" w:name="_Hlk96158360"/>
      <w:bookmarkStart w:id="1" w:name="_Hlk106267351"/>
    </w:p>
    <w:tbl>
      <w:tblPr>
        <w:tblStyle w:val="5"/>
        <w:tblW w:w="5173" w:type="pct"/>
        <w:jc w:val="center"/>
        <w:tblLayout w:type="fixed"/>
        <w:tblCellMar>
          <w:top w:w="0" w:type="dxa"/>
          <w:left w:w="108" w:type="dxa"/>
          <w:bottom w:w="0" w:type="dxa"/>
          <w:right w:w="108" w:type="dxa"/>
        </w:tblCellMar>
      </w:tblPr>
      <w:tblGrid>
        <w:gridCol w:w="523"/>
        <w:gridCol w:w="2455"/>
        <w:gridCol w:w="748"/>
        <w:gridCol w:w="1229"/>
        <w:gridCol w:w="590"/>
        <w:gridCol w:w="855"/>
        <w:gridCol w:w="1042"/>
        <w:gridCol w:w="1375"/>
      </w:tblGrid>
      <w:tr w14:paraId="36DFFE9C">
        <w:tblPrEx>
          <w:tblCellMar>
            <w:top w:w="0" w:type="dxa"/>
            <w:left w:w="108" w:type="dxa"/>
            <w:bottom w:w="0" w:type="dxa"/>
            <w:right w:w="108" w:type="dxa"/>
          </w:tblCellMar>
        </w:tblPrEx>
        <w:trPr>
          <w:trHeight w:val="652" w:hRule="atLeast"/>
          <w:jc w:val="center"/>
        </w:trPr>
        <w:tc>
          <w:tcPr>
            <w:tcW w:w="296" w:type="pct"/>
            <w:tcBorders>
              <w:top w:val="single" w:color="000000" w:sz="4" w:space="0"/>
              <w:left w:val="single" w:color="000000" w:sz="4" w:space="0"/>
              <w:bottom w:val="single" w:color="auto" w:sz="4" w:space="0"/>
              <w:right w:val="single" w:color="auto" w:sz="4" w:space="0"/>
            </w:tcBorders>
            <w:noWrap/>
            <w:vAlign w:val="center"/>
          </w:tcPr>
          <w:p w14:paraId="12D299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392" w:type="pct"/>
            <w:tcBorders>
              <w:top w:val="single" w:color="auto" w:sz="4" w:space="0"/>
              <w:left w:val="single" w:color="auto" w:sz="4" w:space="0"/>
              <w:bottom w:val="single" w:color="auto" w:sz="4" w:space="0"/>
              <w:right w:val="single" w:color="auto" w:sz="4" w:space="0"/>
            </w:tcBorders>
            <w:noWrap/>
            <w:vAlign w:val="center"/>
          </w:tcPr>
          <w:p w14:paraId="345CA36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产品</w:t>
            </w:r>
            <w:r>
              <w:rPr>
                <w:rFonts w:hint="eastAsia" w:ascii="宋体" w:hAnsi="宋体" w:eastAsia="宋体" w:cs="宋体"/>
                <w:b/>
                <w:bCs/>
                <w:color w:val="auto"/>
                <w:kern w:val="0"/>
                <w:sz w:val="24"/>
                <w:szCs w:val="24"/>
                <w:highlight w:val="none"/>
                <w:lang w:bidi="ar"/>
              </w:rPr>
              <w:t>名称</w:t>
            </w:r>
          </w:p>
        </w:tc>
        <w:tc>
          <w:tcPr>
            <w:tcW w:w="424" w:type="pct"/>
            <w:tcBorders>
              <w:top w:val="single" w:color="auto" w:sz="4" w:space="0"/>
              <w:left w:val="single" w:color="auto" w:sz="4" w:space="0"/>
              <w:bottom w:val="single" w:color="auto" w:sz="4" w:space="0"/>
              <w:right w:val="single" w:color="auto" w:sz="4" w:space="0"/>
            </w:tcBorders>
            <w:noWrap/>
            <w:vAlign w:val="center"/>
          </w:tcPr>
          <w:p w14:paraId="60F5B887">
            <w:pPr>
              <w:widowControl/>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技术参数</w:t>
            </w:r>
          </w:p>
        </w:tc>
        <w:tc>
          <w:tcPr>
            <w:tcW w:w="696" w:type="pct"/>
            <w:tcBorders>
              <w:top w:val="single" w:color="auto" w:sz="4" w:space="0"/>
              <w:left w:val="single" w:color="auto" w:sz="4" w:space="0"/>
              <w:bottom w:val="single" w:color="auto" w:sz="4" w:space="0"/>
              <w:right w:val="single" w:color="auto" w:sz="4" w:space="0"/>
            </w:tcBorders>
            <w:noWrap/>
            <w:vAlign w:val="center"/>
          </w:tcPr>
          <w:p w14:paraId="0271952C">
            <w:pPr>
              <w:widowControl/>
              <w:jc w:val="center"/>
              <w:textAlignment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bidi="ar"/>
              </w:rPr>
              <w:t>规格</w:t>
            </w:r>
          </w:p>
        </w:tc>
        <w:tc>
          <w:tcPr>
            <w:tcW w:w="334" w:type="pct"/>
            <w:tcBorders>
              <w:top w:val="single" w:color="auto" w:sz="4" w:space="0"/>
              <w:left w:val="single" w:color="auto" w:sz="4" w:space="0"/>
              <w:bottom w:val="single" w:color="auto" w:sz="4" w:space="0"/>
              <w:right w:val="single" w:color="auto" w:sz="4" w:space="0"/>
            </w:tcBorders>
            <w:noWrap/>
            <w:vAlign w:val="center"/>
          </w:tcPr>
          <w:p w14:paraId="3DAE70D9">
            <w:pPr>
              <w:widowControl/>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单位</w:t>
            </w:r>
          </w:p>
        </w:tc>
        <w:tc>
          <w:tcPr>
            <w:tcW w:w="484" w:type="pct"/>
            <w:tcBorders>
              <w:top w:val="single" w:color="auto" w:sz="4" w:space="0"/>
              <w:left w:val="single" w:color="auto" w:sz="4" w:space="0"/>
              <w:bottom w:val="single" w:color="auto" w:sz="4" w:space="0"/>
              <w:right w:val="single" w:color="auto" w:sz="4" w:space="0"/>
            </w:tcBorders>
            <w:noWrap/>
            <w:vAlign w:val="center"/>
          </w:tcPr>
          <w:p w14:paraId="631668B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年度预计使用量</w:t>
            </w:r>
          </w:p>
        </w:tc>
        <w:tc>
          <w:tcPr>
            <w:tcW w:w="591"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4A828470">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单价最高</w:t>
            </w:r>
            <w:r>
              <w:rPr>
                <w:rFonts w:hint="eastAsia" w:ascii="宋体" w:hAnsi="宋体" w:eastAsia="宋体" w:cs="宋体"/>
                <w:b/>
                <w:bCs/>
                <w:color w:val="auto"/>
                <w:kern w:val="0"/>
                <w:sz w:val="24"/>
                <w:szCs w:val="24"/>
                <w:highlight w:val="none"/>
                <w:lang w:bidi="ar"/>
              </w:rPr>
              <w:t>限价</w:t>
            </w: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eastAsia="zh-CN" w:bidi="ar"/>
              </w:rPr>
              <w:t>（</w:t>
            </w:r>
            <w:r>
              <w:rPr>
                <w:rFonts w:hint="eastAsia" w:ascii="宋体" w:hAnsi="宋体" w:cs="宋体"/>
                <w:b/>
                <w:bCs/>
                <w:color w:val="auto"/>
                <w:kern w:val="0"/>
                <w:sz w:val="24"/>
                <w:szCs w:val="24"/>
                <w:highlight w:val="none"/>
                <w:lang w:val="en-US" w:eastAsia="zh-CN" w:bidi="ar"/>
              </w:rPr>
              <w:t>元</w:t>
            </w:r>
            <w:r>
              <w:rPr>
                <w:rFonts w:hint="eastAsia" w:ascii="宋体" w:hAnsi="宋体" w:eastAsia="宋体" w:cs="宋体"/>
                <w:b/>
                <w:bCs/>
                <w:color w:val="auto"/>
                <w:kern w:val="0"/>
                <w:sz w:val="24"/>
                <w:szCs w:val="24"/>
                <w:highlight w:val="none"/>
                <w:lang w:eastAsia="zh-CN" w:bidi="ar"/>
              </w:rPr>
              <w:t>）</w:t>
            </w:r>
          </w:p>
        </w:tc>
        <w:tc>
          <w:tcPr>
            <w:tcW w:w="779" w:type="pct"/>
            <w:tcBorders>
              <w:top w:val="single" w:color="000000" w:sz="4" w:space="0"/>
              <w:left w:val="single" w:color="000000" w:sz="4" w:space="0"/>
              <w:bottom w:val="single" w:color="auto" w:sz="4" w:space="0"/>
              <w:right w:val="single" w:color="000000" w:sz="4" w:space="0"/>
            </w:tcBorders>
            <w:noWrap/>
            <w:vAlign w:val="center"/>
          </w:tcPr>
          <w:p w14:paraId="77D04EF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22FA6FD">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7A16D25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2" w:type="pct"/>
            <w:tcBorders>
              <w:top w:val="single" w:color="auto" w:sz="4" w:space="0"/>
              <w:left w:val="single" w:color="auto" w:sz="4" w:space="0"/>
              <w:bottom w:val="single" w:color="auto" w:sz="4" w:space="0"/>
              <w:right w:val="single" w:color="auto" w:sz="4" w:space="0"/>
            </w:tcBorders>
            <w:noWrap/>
            <w:vAlign w:val="center"/>
          </w:tcPr>
          <w:p w14:paraId="58913C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清洗液 HITERGENT（抗菌无磷）</w:t>
            </w:r>
          </w:p>
        </w:tc>
        <w:tc>
          <w:tcPr>
            <w:tcW w:w="424" w:type="pct"/>
            <w:vMerge w:val="restart"/>
            <w:tcBorders>
              <w:top w:val="single" w:color="auto" w:sz="4" w:space="0"/>
              <w:left w:val="single" w:color="auto" w:sz="4" w:space="0"/>
              <w:bottom w:val="nil"/>
              <w:right w:val="single" w:color="auto" w:sz="4" w:space="0"/>
            </w:tcBorders>
            <w:noWrap/>
            <w:vAlign w:val="center"/>
          </w:tcPr>
          <w:p w14:paraId="683CB0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4FBFE5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2D5CB6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18F215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00B471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058871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适配我院日立008α全自动生化分析仪</w:t>
            </w:r>
          </w:p>
        </w:tc>
        <w:tc>
          <w:tcPr>
            <w:tcW w:w="696" w:type="pct"/>
            <w:tcBorders>
              <w:top w:val="single" w:color="auto" w:sz="4" w:space="0"/>
              <w:left w:val="single" w:color="auto" w:sz="4" w:space="0"/>
              <w:bottom w:val="single" w:color="auto" w:sz="4" w:space="0"/>
              <w:right w:val="single" w:color="auto" w:sz="4" w:space="0"/>
            </w:tcBorders>
            <w:noWrap/>
            <w:vAlign w:val="center"/>
          </w:tcPr>
          <w:p w14:paraId="460CF9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5*100ml</w:t>
            </w:r>
          </w:p>
        </w:tc>
        <w:tc>
          <w:tcPr>
            <w:tcW w:w="334" w:type="pct"/>
            <w:tcBorders>
              <w:top w:val="single" w:color="auto" w:sz="4" w:space="0"/>
              <w:left w:val="single" w:color="auto" w:sz="4" w:space="0"/>
              <w:bottom w:val="single" w:color="auto" w:sz="4" w:space="0"/>
              <w:right w:val="single" w:color="auto" w:sz="4" w:space="0"/>
            </w:tcBorders>
            <w:noWrap/>
            <w:vAlign w:val="center"/>
          </w:tcPr>
          <w:p w14:paraId="108E4198">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auto" w:sz="4" w:space="0"/>
              <w:left w:val="single" w:color="auto" w:sz="4" w:space="0"/>
              <w:bottom w:val="single" w:color="auto" w:sz="4" w:space="0"/>
              <w:right w:val="single" w:color="auto" w:sz="4" w:space="0"/>
            </w:tcBorders>
            <w:noWrap/>
            <w:vAlign w:val="center"/>
          </w:tcPr>
          <w:p w14:paraId="631C2D7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10</w:t>
            </w:r>
          </w:p>
        </w:tc>
        <w:tc>
          <w:tcPr>
            <w:tcW w:w="591" w:type="pct"/>
            <w:tcBorders>
              <w:top w:val="single" w:color="auto" w:sz="4" w:space="0"/>
              <w:left w:val="single" w:color="auto" w:sz="4" w:space="0"/>
              <w:bottom w:val="single" w:color="auto" w:sz="4" w:space="0"/>
              <w:right w:val="single" w:color="auto" w:sz="4" w:space="0"/>
            </w:tcBorders>
            <w:noWrap/>
            <w:vAlign w:val="center"/>
          </w:tcPr>
          <w:p w14:paraId="42C86C36">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1000.00</w:t>
            </w:r>
          </w:p>
        </w:tc>
        <w:tc>
          <w:tcPr>
            <w:tcW w:w="779" w:type="pct"/>
            <w:tcBorders>
              <w:top w:val="single" w:color="auto" w:sz="4" w:space="0"/>
              <w:left w:val="single" w:color="auto" w:sz="4" w:space="0"/>
              <w:bottom w:val="single" w:color="auto" w:sz="4" w:space="0"/>
              <w:right w:val="single" w:color="auto" w:sz="4" w:space="0"/>
            </w:tcBorders>
            <w:noWrap/>
            <w:vAlign w:val="center"/>
          </w:tcPr>
          <w:p w14:paraId="0EB74805">
            <w:pPr>
              <w:widowControl/>
              <w:jc w:val="center"/>
              <w:textAlignment w:val="center"/>
              <w:rPr>
                <w:rFonts w:hint="eastAsia" w:ascii="宋体" w:hAnsi="宋体" w:eastAsia="宋体" w:cs="宋体"/>
                <w:color w:val="auto"/>
                <w:sz w:val="21"/>
                <w:szCs w:val="21"/>
                <w:highlight w:val="none"/>
                <w:lang w:val="en-US" w:eastAsia="zh-CN"/>
              </w:rPr>
            </w:pPr>
          </w:p>
        </w:tc>
      </w:tr>
      <w:tr w14:paraId="30B3C43F">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1AFB5E7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2" w:type="pct"/>
            <w:tcBorders>
              <w:top w:val="single" w:color="auto" w:sz="4" w:space="0"/>
              <w:left w:val="single" w:color="auto" w:sz="4" w:space="0"/>
              <w:bottom w:val="single" w:color="auto" w:sz="4" w:space="0"/>
              <w:right w:val="single" w:color="auto" w:sz="4" w:space="0"/>
            </w:tcBorders>
            <w:noWrap/>
            <w:vAlign w:val="center"/>
          </w:tcPr>
          <w:p w14:paraId="60D3D04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清洗液 HICARRYNON （酸）</w:t>
            </w:r>
          </w:p>
        </w:tc>
        <w:tc>
          <w:tcPr>
            <w:tcW w:w="424" w:type="pct"/>
            <w:vMerge w:val="continue"/>
            <w:tcBorders>
              <w:top w:val="nil"/>
              <w:left w:val="single" w:color="auto" w:sz="4" w:space="0"/>
              <w:bottom w:val="nil"/>
              <w:right w:val="single" w:color="auto" w:sz="4" w:space="0"/>
            </w:tcBorders>
            <w:noWrap/>
            <w:vAlign w:val="center"/>
          </w:tcPr>
          <w:p w14:paraId="163030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C1155B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500ML</w:t>
            </w:r>
          </w:p>
        </w:tc>
        <w:tc>
          <w:tcPr>
            <w:tcW w:w="334" w:type="pct"/>
            <w:tcBorders>
              <w:top w:val="single" w:color="auto" w:sz="4" w:space="0"/>
              <w:left w:val="single" w:color="auto" w:sz="4" w:space="0"/>
              <w:bottom w:val="single" w:color="auto" w:sz="4" w:space="0"/>
              <w:right w:val="single" w:color="auto" w:sz="4" w:space="0"/>
            </w:tcBorders>
            <w:noWrap/>
            <w:vAlign w:val="center"/>
          </w:tcPr>
          <w:p w14:paraId="2D24ADC4">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auto" w:sz="4" w:space="0"/>
              <w:left w:val="single" w:color="auto" w:sz="4" w:space="0"/>
              <w:bottom w:val="single" w:color="auto" w:sz="4" w:space="0"/>
              <w:right w:val="single" w:color="auto" w:sz="4" w:space="0"/>
            </w:tcBorders>
            <w:noWrap/>
            <w:vAlign w:val="center"/>
          </w:tcPr>
          <w:p w14:paraId="3134489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20</w:t>
            </w:r>
          </w:p>
        </w:tc>
        <w:tc>
          <w:tcPr>
            <w:tcW w:w="591" w:type="pct"/>
            <w:tcBorders>
              <w:top w:val="single" w:color="auto" w:sz="4" w:space="0"/>
              <w:left w:val="single" w:color="auto" w:sz="4" w:space="0"/>
              <w:bottom w:val="single" w:color="auto" w:sz="4" w:space="0"/>
              <w:right w:val="single" w:color="auto" w:sz="4" w:space="0"/>
            </w:tcBorders>
            <w:noWrap/>
            <w:vAlign w:val="center"/>
          </w:tcPr>
          <w:p w14:paraId="623B196F">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1400.00</w:t>
            </w:r>
          </w:p>
        </w:tc>
        <w:tc>
          <w:tcPr>
            <w:tcW w:w="779" w:type="pct"/>
            <w:tcBorders>
              <w:top w:val="single" w:color="auto" w:sz="4" w:space="0"/>
              <w:left w:val="single" w:color="auto" w:sz="4" w:space="0"/>
              <w:bottom w:val="single" w:color="auto" w:sz="4" w:space="0"/>
              <w:right w:val="single" w:color="auto" w:sz="4" w:space="0"/>
            </w:tcBorders>
            <w:noWrap/>
            <w:vAlign w:val="center"/>
          </w:tcPr>
          <w:p w14:paraId="5AB852D4">
            <w:pPr>
              <w:widowControl/>
              <w:jc w:val="center"/>
              <w:textAlignment w:val="center"/>
              <w:rPr>
                <w:rFonts w:hint="eastAsia" w:ascii="宋体" w:hAnsi="宋体" w:eastAsia="宋体" w:cs="宋体"/>
                <w:color w:val="auto"/>
                <w:sz w:val="21"/>
                <w:szCs w:val="21"/>
                <w:highlight w:val="none"/>
                <w:lang w:val="en-US" w:eastAsia="zh-CN"/>
              </w:rPr>
            </w:pPr>
          </w:p>
        </w:tc>
      </w:tr>
      <w:tr w14:paraId="4A3A6BCB">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3F20D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2" w:type="pct"/>
            <w:tcBorders>
              <w:top w:val="single" w:color="auto" w:sz="4" w:space="0"/>
              <w:left w:val="single" w:color="auto" w:sz="4" w:space="0"/>
              <w:bottom w:val="single" w:color="auto" w:sz="4" w:space="0"/>
              <w:right w:val="single" w:color="auto" w:sz="4" w:space="0"/>
            </w:tcBorders>
            <w:noWrap/>
            <w:vAlign w:val="center"/>
          </w:tcPr>
          <w:p w14:paraId="750FF75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清洗液 HIALKALI-D （碱）</w:t>
            </w:r>
          </w:p>
        </w:tc>
        <w:tc>
          <w:tcPr>
            <w:tcW w:w="424" w:type="pct"/>
            <w:vMerge w:val="continue"/>
            <w:tcBorders>
              <w:top w:val="nil"/>
              <w:left w:val="single" w:color="auto" w:sz="4" w:space="0"/>
              <w:bottom w:val="nil"/>
              <w:right w:val="single" w:color="auto" w:sz="4" w:space="0"/>
            </w:tcBorders>
            <w:noWrap/>
            <w:vAlign w:val="center"/>
          </w:tcPr>
          <w:p w14:paraId="617C01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01B84A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2L</w:t>
            </w:r>
          </w:p>
        </w:tc>
        <w:tc>
          <w:tcPr>
            <w:tcW w:w="334" w:type="pct"/>
            <w:tcBorders>
              <w:top w:val="single" w:color="auto" w:sz="4" w:space="0"/>
              <w:left w:val="single" w:color="auto" w:sz="4" w:space="0"/>
              <w:bottom w:val="single" w:color="auto" w:sz="4" w:space="0"/>
              <w:right w:val="single" w:color="auto" w:sz="4" w:space="0"/>
            </w:tcBorders>
            <w:noWrap/>
            <w:vAlign w:val="center"/>
          </w:tcPr>
          <w:p w14:paraId="30621441">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auto" w:sz="4" w:space="0"/>
              <w:left w:val="single" w:color="auto" w:sz="4" w:space="0"/>
              <w:bottom w:val="single" w:color="auto" w:sz="4" w:space="0"/>
              <w:right w:val="single" w:color="auto" w:sz="4" w:space="0"/>
            </w:tcBorders>
            <w:noWrap/>
            <w:vAlign w:val="center"/>
          </w:tcPr>
          <w:p w14:paraId="5C083D47">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100</w:t>
            </w:r>
          </w:p>
        </w:tc>
        <w:tc>
          <w:tcPr>
            <w:tcW w:w="591" w:type="pct"/>
            <w:tcBorders>
              <w:top w:val="single" w:color="auto" w:sz="4" w:space="0"/>
              <w:left w:val="single" w:color="auto" w:sz="4" w:space="0"/>
              <w:bottom w:val="single" w:color="auto" w:sz="4" w:space="0"/>
              <w:right w:val="single" w:color="auto" w:sz="4" w:space="0"/>
            </w:tcBorders>
            <w:noWrap/>
            <w:vAlign w:val="center"/>
          </w:tcPr>
          <w:p w14:paraId="6B47CD27">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800.00</w:t>
            </w:r>
          </w:p>
        </w:tc>
        <w:tc>
          <w:tcPr>
            <w:tcW w:w="779" w:type="pct"/>
            <w:tcBorders>
              <w:top w:val="single" w:color="auto" w:sz="4" w:space="0"/>
              <w:left w:val="single" w:color="auto" w:sz="4" w:space="0"/>
              <w:bottom w:val="single" w:color="auto" w:sz="4" w:space="0"/>
              <w:right w:val="single" w:color="auto" w:sz="4" w:space="0"/>
            </w:tcBorders>
            <w:noWrap/>
            <w:vAlign w:val="center"/>
          </w:tcPr>
          <w:p w14:paraId="514F11C6">
            <w:pPr>
              <w:widowControl/>
              <w:jc w:val="center"/>
              <w:textAlignment w:val="center"/>
              <w:rPr>
                <w:rFonts w:hint="eastAsia" w:ascii="宋体" w:hAnsi="宋体" w:eastAsia="宋体" w:cs="宋体"/>
                <w:color w:val="auto"/>
                <w:sz w:val="21"/>
                <w:szCs w:val="21"/>
                <w:highlight w:val="none"/>
                <w:lang w:val="en-US" w:eastAsia="zh-CN"/>
              </w:rPr>
            </w:pPr>
          </w:p>
        </w:tc>
      </w:tr>
      <w:tr w14:paraId="7C1EBC89">
        <w:tblPrEx>
          <w:tblCellMar>
            <w:top w:w="0" w:type="dxa"/>
            <w:left w:w="108" w:type="dxa"/>
            <w:bottom w:w="0" w:type="dxa"/>
            <w:right w:w="108" w:type="dxa"/>
          </w:tblCellMar>
        </w:tblPrEx>
        <w:trPr>
          <w:trHeight w:val="47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1A0A6A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2" w:type="pct"/>
            <w:tcBorders>
              <w:top w:val="single" w:color="auto" w:sz="4" w:space="0"/>
              <w:left w:val="single" w:color="auto" w:sz="4" w:space="0"/>
              <w:bottom w:val="single" w:color="auto" w:sz="4" w:space="0"/>
              <w:right w:val="single" w:color="auto" w:sz="4" w:space="0"/>
            </w:tcBorders>
            <w:noWrap/>
            <w:vAlign w:val="center"/>
          </w:tcPr>
          <w:p w14:paraId="3B515B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钾电极（K electrode）</w:t>
            </w:r>
          </w:p>
        </w:tc>
        <w:tc>
          <w:tcPr>
            <w:tcW w:w="424" w:type="pct"/>
            <w:vMerge w:val="continue"/>
            <w:tcBorders>
              <w:top w:val="nil"/>
              <w:left w:val="single" w:color="auto" w:sz="4" w:space="0"/>
              <w:bottom w:val="nil"/>
              <w:right w:val="single" w:color="auto" w:sz="4" w:space="0"/>
            </w:tcBorders>
            <w:noWrap/>
            <w:vAlign w:val="center"/>
          </w:tcPr>
          <w:p w14:paraId="2B2206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685E863">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379F572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auto" w:sz="4" w:space="0"/>
              <w:left w:val="single" w:color="auto" w:sz="4" w:space="0"/>
              <w:bottom w:val="single" w:color="auto" w:sz="4" w:space="0"/>
              <w:right w:val="single" w:color="auto" w:sz="4" w:space="0"/>
            </w:tcBorders>
            <w:noWrap/>
            <w:vAlign w:val="center"/>
          </w:tcPr>
          <w:p w14:paraId="4DA6BD71">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w:t>
            </w:r>
          </w:p>
        </w:tc>
        <w:tc>
          <w:tcPr>
            <w:tcW w:w="591" w:type="pct"/>
            <w:tcBorders>
              <w:top w:val="single" w:color="auto" w:sz="4" w:space="0"/>
              <w:left w:val="single" w:color="auto" w:sz="4" w:space="0"/>
              <w:bottom w:val="single" w:color="auto" w:sz="4" w:space="0"/>
              <w:right w:val="single" w:color="auto" w:sz="4" w:space="0"/>
            </w:tcBorders>
            <w:noWrap/>
            <w:vAlign w:val="center"/>
          </w:tcPr>
          <w:p w14:paraId="4686E2C9">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4100.00</w:t>
            </w:r>
          </w:p>
        </w:tc>
        <w:tc>
          <w:tcPr>
            <w:tcW w:w="779" w:type="pct"/>
            <w:vMerge w:val="restart"/>
            <w:tcBorders>
              <w:top w:val="single" w:color="auto" w:sz="4" w:space="0"/>
              <w:left w:val="single" w:color="auto" w:sz="4" w:space="0"/>
              <w:bottom w:val="single" w:color="auto" w:sz="4" w:space="0"/>
              <w:right w:val="single" w:color="auto" w:sz="4" w:space="0"/>
            </w:tcBorders>
            <w:noWrap/>
            <w:vAlign w:val="center"/>
          </w:tcPr>
          <w:p w14:paraId="0A04B2F1">
            <w:pPr>
              <w:widowControl/>
              <w:jc w:val="both"/>
              <w:textAlignment w:val="center"/>
              <w:rPr>
                <w:rFonts w:hint="eastAsia" w:ascii="宋体" w:hAnsi="宋体" w:eastAsia="宋体" w:cs="宋体"/>
                <w:color w:val="auto"/>
                <w:sz w:val="21"/>
                <w:szCs w:val="21"/>
                <w:highlight w:val="none"/>
                <w:lang w:val="en-US" w:eastAsia="zh-CN"/>
              </w:rPr>
            </w:pPr>
            <w:r>
              <w:rPr>
                <w:rFonts w:hint="eastAsia" w:ascii="华文宋体" w:hAnsi="华文宋体" w:eastAsia="华文宋体" w:cs="华文宋体"/>
                <w:i w:val="0"/>
                <w:iCs w:val="0"/>
                <w:color w:val="auto"/>
                <w:kern w:val="0"/>
                <w:sz w:val="21"/>
                <w:szCs w:val="21"/>
                <w:highlight w:val="none"/>
                <w:u w:val="none"/>
                <w:lang w:val="en-US" w:eastAsia="zh-CN" w:bidi="ar"/>
              </w:rPr>
              <w:t>允许进口产品投标，满足要求的国内产品也可参与竞争</w:t>
            </w:r>
          </w:p>
        </w:tc>
      </w:tr>
      <w:tr w14:paraId="31BB6019">
        <w:tblPrEx>
          <w:tblCellMar>
            <w:top w:w="0" w:type="dxa"/>
            <w:left w:w="108" w:type="dxa"/>
            <w:bottom w:w="0" w:type="dxa"/>
            <w:right w:w="108" w:type="dxa"/>
          </w:tblCellMar>
        </w:tblPrEx>
        <w:trPr>
          <w:trHeight w:val="417"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DAB47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92" w:type="pct"/>
            <w:tcBorders>
              <w:top w:val="single" w:color="auto" w:sz="4" w:space="0"/>
              <w:left w:val="single" w:color="auto" w:sz="4" w:space="0"/>
              <w:bottom w:val="single" w:color="auto" w:sz="4" w:space="0"/>
              <w:right w:val="single" w:color="auto" w:sz="4" w:space="0"/>
            </w:tcBorders>
            <w:noWrap/>
            <w:vAlign w:val="center"/>
          </w:tcPr>
          <w:p w14:paraId="3AFAE35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钠电极（Na electrode））</w:t>
            </w:r>
          </w:p>
        </w:tc>
        <w:tc>
          <w:tcPr>
            <w:tcW w:w="424" w:type="pct"/>
            <w:vMerge w:val="continue"/>
            <w:tcBorders>
              <w:top w:val="nil"/>
              <w:left w:val="single" w:color="auto" w:sz="4" w:space="0"/>
              <w:bottom w:val="nil"/>
              <w:right w:val="single" w:color="auto" w:sz="4" w:space="0"/>
            </w:tcBorders>
            <w:noWrap/>
            <w:vAlign w:val="center"/>
          </w:tcPr>
          <w:p w14:paraId="68FCE07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7F0A5812">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24E918BD">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auto" w:sz="4" w:space="0"/>
              <w:left w:val="single" w:color="auto" w:sz="4" w:space="0"/>
              <w:bottom w:val="single" w:color="auto" w:sz="4" w:space="0"/>
              <w:right w:val="single" w:color="auto" w:sz="4" w:space="0"/>
            </w:tcBorders>
            <w:noWrap/>
            <w:vAlign w:val="center"/>
          </w:tcPr>
          <w:p w14:paraId="53C2E3D6">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w:t>
            </w:r>
          </w:p>
        </w:tc>
        <w:tc>
          <w:tcPr>
            <w:tcW w:w="591" w:type="pct"/>
            <w:tcBorders>
              <w:top w:val="single" w:color="auto" w:sz="4" w:space="0"/>
              <w:left w:val="single" w:color="auto" w:sz="4" w:space="0"/>
              <w:bottom w:val="single" w:color="auto" w:sz="4" w:space="0"/>
              <w:right w:val="single" w:color="auto" w:sz="4" w:space="0"/>
            </w:tcBorders>
            <w:noWrap/>
            <w:vAlign w:val="center"/>
          </w:tcPr>
          <w:p w14:paraId="2332B083">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4100.00</w:t>
            </w:r>
          </w:p>
        </w:tc>
        <w:tc>
          <w:tcPr>
            <w:tcW w:w="779" w:type="pct"/>
            <w:vMerge w:val="continue"/>
            <w:tcBorders>
              <w:top w:val="single" w:color="auto" w:sz="4" w:space="0"/>
              <w:left w:val="single" w:color="auto" w:sz="4" w:space="0"/>
              <w:bottom w:val="single" w:color="auto" w:sz="4" w:space="0"/>
              <w:right w:val="single" w:color="auto" w:sz="4" w:space="0"/>
            </w:tcBorders>
            <w:noWrap/>
            <w:vAlign w:val="center"/>
          </w:tcPr>
          <w:p w14:paraId="5ED89B8F">
            <w:pPr>
              <w:widowControl/>
              <w:jc w:val="center"/>
              <w:textAlignment w:val="center"/>
              <w:rPr>
                <w:rFonts w:hint="eastAsia" w:ascii="宋体" w:hAnsi="宋体" w:eastAsia="宋体" w:cs="宋体"/>
                <w:color w:val="auto"/>
                <w:sz w:val="21"/>
                <w:szCs w:val="21"/>
                <w:highlight w:val="none"/>
                <w:lang w:val="en-US" w:eastAsia="zh-CN"/>
              </w:rPr>
            </w:pPr>
          </w:p>
        </w:tc>
      </w:tr>
      <w:tr w14:paraId="672CCD4C">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0273E4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92" w:type="pct"/>
            <w:tcBorders>
              <w:top w:val="single" w:color="auto" w:sz="4" w:space="0"/>
              <w:left w:val="single" w:color="auto" w:sz="4" w:space="0"/>
              <w:bottom w:val="single" w:color="auto" w:sz="4" w:space="0"/>
              <w:right w:val="single" w:color="auto" w:sz="4" w:space="0"/>
            </w:tcBorders>
            <w:noWrap/>
            <w:vAlign w:val="center"/>
          </w:tcPr>
          <w:p w14:paraId="65731A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氯电极（Cl electrode）</w:t>
            </w:r>
          </w:p>
        </w:tc>
        <w:tc>
          <w:tcPr>
            <w:tcW w:w="424" w:type="pct"/>
            <w:vMerge w:val="continue"/>
            <w:tcBorders>
              <w:top w:val="nil"/>
              <w:left w:val="single" w:color="auto" w:sz="4" w:space="0"/>
              <w:bottom w:val="nil"/>
              <w:right w:val="single" w:color="auto" w:sz="4" w:space="0"/>
            </w:tcBorders>
            <w:noWrap/>
            <w:vAlign w:val="center"/>
          </w:tcPr>
          <w:p w14:paraId="23FBE4D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9601532">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327B1C1E">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auto" w:sz="4" w:space="0"/>
              <w:left w:val="single" w:color="auto" w:sz="4" w:space="0"/>
              <w:bottom w:val="single" w:color="auto" w:sz="4" w:space="0"/>
              <w:right w:val="single" w:color="auto" w:sz="4" w:space="0"/>
            </w:tcBorders>
            <w:noWrap/>
            <w:vAlign w:val="center"/>
          </w:tcPr>
          <w:p w14:paraId="74A44B1E">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w:t>
            </w:r>
          </w:p>
        </w:tc>
        <w:tc>
          <w:tcPr>
            <w:tcW w:w="591" w:type="pct"/>
            <w:tcBorders>
              <w:top w:val="single" w:color="auto" w:sz="4" w:space="0"/>
              <w:left w:val="single" w:color="auto" w:sz="4" w:space="0"/>
              <w:bottom w:val="single" w:color="auto" w:sz="4" w:space="0"/>
              <w:right w:val="single" w:color="auto" w:sz="4" w:space="0"/>
            </w:tcBorders>
            <w:noWrap/>
            <w:vAlign w:val="center"/>
          </w:tcPr>
          <w:p w14:paraId="14E20DFF">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4100.00</w:t>
            </w:r>
          </w:p>
        </w:tc>
        <w:tc>
          <w:tcPr>
            <w:tcW w:w="779" w:type="pct"/>
            <w:vMerge w:val="continue"/>
            <w:tcBorders>
              <w:top w:val="single" w:color="auto" w:sz="4" w:space="0"/>
              <w:left w:val="single" w:color="auto" w:sz="4" w:space="0"/>
              <w:bottom w:val="single" w:color="auto" w:sz="4" w:space="0"/>
              <w:right w:val="single" w:color="auto" w:sz="4" w:space="0"/>
            </w:tcBorders>
            <w:noWrap/>
            <w:vAlign w:val="center"/>
          </w:tcPr>
          <w:p w14:paraId="0A5442CB">
            <w:pPr>
              <w:widowControl/>
              <w:jc w:val="center"/>
              <w:textAlignment w:val="center"/>
              <w:rPr>
                <w:rFonts w:hint="eastAsia" w:ascii="宋体" w:hAnsi="宋体" w:eastAsia="宋体" w:cs="宋体"/>
                <w:color w:val="auto"/>
                <w:sz w:val="21"/>
                <w:szCs w:val="21"/>
                <w:highlight w:val="none"/>
                <w:lang w:val="en-US" w:eastAsia="zh-CN"/>
              </w:rPr>
            </w:pPr>
          </w:p>
        </w:tc>
      </w:tr>
      <w:tr w14:paraId="3B18ED7E">
        <w:tblPrEx>
          <w:tblCellMar>
            <w:top w:w="0" w:type="dxa"/>
            <w:left w:w="108" w:type="dxa"/>
            <w:bottom w:w="0" w:type="dxa"/>
            <w:right w:w="108" w:type="dxa"/>
          </w:tblCellMar>
        </w:tblPrEx>
        <w:trPr>
          <w:trHeight w:val="335"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022C39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92" w:type="pct"/>
            <w:tcBorders>
              <w:top w:val="single" w:color="auto" w:sz="4" w:space="0"/>
              <w:left w:val="single" w:color="auto" w:sz="4" w:space="0"/>
              <w:bottom w:val="single" w:color="auto" w:sz="4" w:space="0"/>
              <w:right w:val="single" w:color="auto" w:sz="4" w:space="0"/>
            </w:tcBorders>
            <w:noWrap/>
            <w:vAlign w:val="center"/>
          </w:tcPr>
          <w:p w14:paraId="2120F8B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参比电极（REF Electrode）</w:t>
            </w:r>
          </w:p>
        </w:tc>
        <w:tc>
          <w:tcPr>
            <w:tcW w:w="424" w:type="pct"/>
            <w:vMerge w:val="continue"/>
            <w:tcBorders>
              <w:top w:val="nil"/>
              <w:left w:val="single" w:color="auto" w:sz="4" w:space="0"/>
              <w:bottom w:val="nil"/>
              <w:right w:val="single" w:color="auto" w:sz="4" w:space="0"/>
            </w:tcBorders>
            <w:noWrap/>
            <w:vAlign w:val="center"/>
          </w:tcPr>
          <w:p w14:paraId="583C3B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05F0905">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71688082">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auto" w:sz="4" w:space="0"/>
              <w:left w:val="single" w:color="auto" w:sz="4" w:space="0"/>
              <w:bottom w:val="single" w:color="auto" w:sz="4" w:space="0"/>
              <w:right w:val="single" w:color="auto" w:sz="4" w:space="0"/>
            </w:tcBorders>
            <w:noWrap/>
            <w:vAlign w:val="center"/>
          </w:tcPr>
          <w:p w14:paraId="1151F7F0">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w:t>
            </w:r>
          </w:p>
        </w:tc>
        <w:tc>
          <w:tcPr>
            <w:tcW w:w="591" w:type="pct"/>
            <w:tcBorders>
              <w:top w:val="single" w:color="auto" w:sz="4" w:space="0"/>
              <w:left w:val="single" w:color="auto" w:sz="4" w:space="0"/>
              <w:bottom w:val="single" w:color="auto" w:sz="4" w:space="0"/>
              <w:right w:val="single" w:color="auto" w:sz="4" w:space="0"/>
            </w:tcBorders>
            <w:noWrap/>
            <w:vAlign w:val="center"/>
          </w:tcPr>
          <w:p w14:paraId="147ED5FC">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4100.00</w:t>
            </w:r>
          </w:p>
        </w:tc>
        <w:tc>
          <w:tcPr>
            <w:tcW w:w="779" w:type="pct"/>
            <w:vMerge w:val="continue"/>
            <w:tcBorders>
              <w:top w:val="single" w:color="auto" w:sz="4" w:space="0"/>
              <w:left w:val="single" w:color="auto" w:sz="4" w:space="0"/>
              <w:bottom w:val="single" w:color="auto" w:sz="4" w:space="0"/>
              <w:right w:val="single" w:color="auto" w:sz="4" w:space="0"/>
            </w:tcBorders>
            <w:noWrap/>
            <w:vAlign w:val="center"/>
          </w:tcPr>
          <w:p w14:paraId="2D695B62">
            <w:pPr>
              <w:widowControl/>
              <w:jc w:val="center"/>
              <w:textAlignment w:val="center"/>
              <w:rPr>
                <w:rFonts w:hint="eastAsia" w:ascii="宋体" w:hAnsi="宋体" w:eastAsia="宋体" w:cs="宋体"/>
                <w:color w:val="auto"/>
                <w:sz w:val="21"/>
                <w:szCs w:val="21"/>
                <w:highlight w:val="none"/>
                <w:lang w:val="en-US" w:eastAsia="zh-CN"/>
              </w:rPr>
            </w:pPr>
          </w:p>
        </w:tc>
      </w:tr>
      <w:tr w14:paraId="554F8DF6">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418DCC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92" w:type="pct"/>
            <w:tcBorders>
              <w:top w:val="single" w:color="auto" w:sz="4" w:space="0"/>
              <w:left w:val="single" w:color="auto" w:sz="4" w:space="0"/>
              <w:bottom w:val="single" w:color="auto" w:sz="4" w:space="0"/>
              <w:right w:val="single" w:color="auto" w:sz="4" w:space="0"/>
            </w:tcBorders>
            <w:noWrap/>
            <w:vAlign w:val="center"/>
          </w:tcPr>
          <w:p w14:paraId="7F20FEB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钠、钾、氯离子浓度检测校准品（离子选择电极法）</w:t>
            </w:r>
          </w:p>
        </w:tc>
        <w:tc>
          <w:tcPr>
            <w:tcW w:w="424" w:type="pct"/>
            <w:vMerge w:val="continue"/>
            <w:tcBorders>
              <w:top w:val="nil"/>
              <w:left w:val="single" w:color="auto" w:sz="4" w:space="0"/>
              <w:bottom w:val="nil"/>
              <w:right w:val="single" w:color="auto" w:sz="4" w:space="0"/>
            </w:tcBorders>
            <w:noWrap/>
            <w:vAlign w:val="center"/>
          </w:tcPr>
          <w:p w14:paraId="043BA54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7ACB0DF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3ML*5</w:t>
            </w:r>
          </w:p>
        </w:tc>
        <w:tc>
          <w:tcPr>
            <w:tcW w:w="334" w:type="pct"/>
            <w:tcBorders>
              <w:top w:val="single" w:color="auto" w:sz="4" w:space="0"/>
              <w:left w:val="single" w:color="auto" w:sz="4" w:space="0"/>
              <w:bottom w:val="single" w:color="auto" w:sz="4" w:space="0"/>
              <w:right w:val="single" w:color="auto" w:sz="4" w:space="0"/>
            </w:tcBorders>
            <w:noWrap/>
            <w:vAlign w:val="center"/>
          </w:tcPr>
          <w:p w14:paraId="44A773D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4BDBF393">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2</w:t>
            </w:r>
          </w:p>
        </w:tc>
        <w:tc>
          <w:tcPr>
            <w:tcW w:w="591" w:type="pct"/>
            <w:tcBorders>
              <w:top w:val="single" w:color="auto" w:sz="4" w:space="0"/>
              <w:left w:val="single" w:color="auto" w:sz="4" w:space="0"/>
              <w:bottom w:val="single" w:color="auto" w:sz="4" w:space="0"/>
              <w:right w:val="single" w:color="auto" w:sz="4" w:space="0"/>
            </w:tcBorders>
            <w:noWrap/>
            <w:vAlign w:val="center"/>
          </w:tcPr>
          <w:p w14:paraId="68C6F550">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900.00</w:t>
            </w:r>
          </w:p>
        </w:tc>
        <w:tc>
          <w:tcPr>
            <w:tcW w:w="779" w:type="pct"/>
            <w:tcBorders>
              <w:top w:val="single" w:color="auto" w:sz="4" w:space="0"/>
              <w:left w:val="single" w:color="auto" w:sz="4" w:space="0"/>
              <w:bottom w:val="single" w:color="auto" w:sz="4" w:space="0"/>
              <w:right w:val="single" w:color="auto" w:sz="4" w:space="0"/>
            </w:tcBorders>
            <w:noWrap/>
            <w:vAlign w:val="center"/>
          </w:tcPr>
          <w:p w14:paraId="28FAE34D">
            <w:pPr>
              <w:widowControl/>
              <w:jc w:val="center"/>
              <w:textAlignment w:val="center"/>
              <w:rPr>
                <w:rFonts w:hint="eastAsia" w:ascii="宋体" w:hAnsi="宋体" w:eastAsia="宋体" w:cs="宋体"/>
                <w:color w:val="auto"/>
                <w:sz w:val="21"/>
                <w:szCs w:val="21"/>
                <w:highlight w:val="none"/>
                <w:lang w:val="en-US" w:eastAsia="zh-CN"/>
              </w:rPr>
            </w:pPr>
          </w:p>
        </w:tc>
      </w:tr>
      <w:tr w14:paraId="58104F52">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36D055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92" w:type="pct"/>
            <w:tcBorders>
              <w:top w:val="single" w:color="auto" w:sz="4" w:space="0"/>
              <w:left w:val="single" w:color="auto" w:sz="4" w:space="0"/>
              <w:bottom w:val="single" w:color="auto" w:sz="4" w:space="0"/>
              <w:right w:val="single" w:color="auto" w:sz="4" w:space="0"/>
            </w:tcBorders>
            <w:noWrap/>
            <w:vAlign w:val="center"/>
          </w:tcPr>
          <w:p w14:paraId="75698E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钠、钾、氯离子浓度检测内部标准液(离子选择电极法)</w:t>
            </w:r>
          </w:p>
        </w:tc>
        <w:tc>
          <w:tcPr>
            <w:tcW w:w="424" w:type="pct"/>
            <w:vMerge w:val="continue"/>
            <w:tcBorders>
              <w:top w:val="nil"/>
              <w:left w:val="single" w:color="auto" w:sz="4" w:space="0"/>
              <w:bottom w:val="nil"/>
              <w:right w:val="single" w:color="auto" w:sz="4" w:space="0"/>
            </w:tcBorders>
            <w:noWrap/>
            <w:vAlign w:val="center"/>
          </w:tcPr>
          <w:p w14:paraId="0BBD8B9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200402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2L</w:t>
            </w:r>
          </w:p>
        </w:tc>
        <w:tc>
          <w:tcPr>
            <w:tcW w:w="334" w:type="pct"/>
            <w:tcBorders>
              <w:top w:val="single" w:color="auto" w:sz="4" w:space="0"/>
              <w:left w:val="single" w:color="auto" w:sz="4" w:space="0"/>
              <w:bottom w:val="single" w:color="auto" w:sz="4" w:space="0"/>
              <w:right w:val="single" w:color="auto" w:sz="4" w:space="0"/>
            </w:tcBorders>
            <w:noWrap/>
            <w:vAlign w:val="center"/>
          </w:tcPr>
          <w:p w14:paraId="28AB1313">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0713A370">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35</w:t>
            </w:r>
          </w:p>
        </w:tc>
        <w:tc>
          <w:tcPr>
            <w:tcW w:w="591" w:type="pct"/>
            <w:tcBorders>
              <w:top w:val="single" w:color="auto" w:sz="4" w:space="0"/>
              <w:left w:val="single" w:color="auto" w:sz="4" w:space="0"/>
              <w:bottom w:val="single" w:color="auto" w:sz="4" w:space="0"/>
              <w:right w:val="single" w:color="auto" w:sz="4" w:space="0"/>
            </w:tcBorders>
            <w:noWrap/>
            <w:vAlign w:val="center"/>
          </w:tcPr>
          <w:p w14:paraId="3F619053">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820.00</w:t>
            </w:r>
          </w:p>
        </w:tc>
        <w:tc>
          <w:tcPr>
            <w:tcW w:w="779" w:type="pct"/>
            <w:tcBorders>
              <w:top w:val="single" w:color="auto" w:sz="4" w:space="0"/>
              <w:left w:val="single" w:color="auto" w:sz="4" w:space="0"/>
              <w:bottom w:val="single" w:color="auto" w:sz="4" w:space="0"/>
              <w:right w:val="single" w:color="000000" w:sz="4" w:space="0"/>
            </w:tcBorders>
            <w:noWrap/>
            <w:vAlign w:val="center"/>
          </w:tcPr>
          <w:p w14:paraId="7DF4F972">
            <w:pPr>
              <w:widowControl/>
              <w:jc w:val="center"/>
              <w:textAlignment w:val="center"/>
              <w:rPr>
                <w:rFonts w:hint="eastAsia" w:ascii="宋体" w:hAnsi="宋体" w:eastAsia="宋体" w:cs="宋体"/>
                <w:color w:val="auto"/>
                <w:sz w:val="21"/>
                <w:szCs w:val="21"/>
                <w:highlight w:val="none"/>
                <w:lang w:val="en-US" w:eastAsia="zh-CN"/>
              </w:rPr>
            </w:pPr>
          </w:p>
        </w:tc>
      </w:tr>
      <w:tr w14:paraId="1208164A">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14385B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92" w:type="pct"/>
            <w:tcBorders>
              <w:top w:val="single" w:color="auto" w:sz="4" w:space="0"/>
              <w:left w:val="single" w:color="auto" w:sz="4" w:space="0"/>
              <w:bottom w:val="single" w:color="auto" w:sz="4" w:space="0"/>
              <w:right w:val="single" w:color="auto" w:sz="4" w:space="0"/>
            </w:tcBorders>
            <w:noWrap/>
            <w:vAlign w:val="center"/>
          </w:tcPr>
          <w:p w14:paraId="022768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样本稀释液</w:t>
            </w:r>
          </w:p>
        </w:tc>
        <w:tc>
          <w:tcPr>
            <w:tcW w:w="424" w:type="pct"/>
            <w:vMerge w:val="continue"/>
            <w:tcBorders>
              <w:top w:val="nil"/>
              <w:left w:val="single" w:color="auto" w:sz="4" w:space="0"/>
              <w:bottom w:val="nil"/>
              <w:right w:val="single" w:color="auto" w:sz="4" w:space="0"/>
            </w:tcBorders>
            <w:noWrap/>
            <w:vAlign w:val="center"/>
          </w:tcPr>
          <w:p w14:paraId="3E93D96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76F6323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2L</w:t>
            </w:r>
          </w:p>
        </w:tc>
        <w:tc>
          <w:tcPr>
            <w:tcW w:w="334" w:type="pct"/>
            <w:tcBorders>
              <w:top w:val="single" w:color="auto" w:sz="4" w:space="0"/>
              <w:left w:val="single" w:color="auto" w:sz="4" w:space="0"/>
              <w:bottom w:val="single" w:color="auto" w:sz="4" w:space="0"/>
              <w:right w:val="single" w:color="auto" w:sz="4" w:space="0"/>
            </w:tcBorders>
            <w:noWrap/>
            <w:vAlign w:val="center"/>
          </w:tcPr>
          <w:p w14:paraId="7DE4C8C3">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6EF5F731">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15</w:t>
            </w:r>
          </w:p>
        </w:tc>
        <w:tc>
          <w:tcPr>
            <w:tcW w:w="591" w:type="pct"/>
            <w:tcBorders>
              <w:top w:val="single" w:color="auto" w:sz="4" w:space="0"/>
              <w:left w:val="single" w:color="auto" w:sz="4" w:space="0"/>
              <w:bottom w:val="single" w:color="auto" w:sz="4" w:space="0"/>
              <w:right w:val="single" w:color="auto" w:sz="4" w:space="0"/>
            </w:tcBorders>
            <w:noWrap/>
            <w:vAlign w:val="center"/>
          </w:tcPr>
          <w:p w14:paraId="7716F720">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920.00</w:t>
            </w:r>
          </w:p>
        </w:tc>
        <w:tc>
          <w:tcPr>
            <w:tcW w:w="779" w:type="pct"/>
            <w:tcBorders>
              <w:top w:val="single" w:color="000000" w:sz="4" w:space="0"/>
              <w:left w:val="single" w:color="auto" w:sz="4" w:space="0"/>
              <w:bottom w:val="single" w:color="auto" w:sz="4" w:space="0"/>
              <w:right w:val="single" w:color="000000" w:sz="4" w:space="0"/>
            </w:tcBorders>
            <w:noWrap/>
            <w:vAlign w:val="center"/>
          </w:tcPr>
          <w:p w14:paraId="4A7C2E58">
            <w:pPr>
              <w:widowControl/>
              <w:jc w:val="center"/>
              <w:textAlignment w:val="center"/>
              <w:rPr>
                <w:rFonts w:hint="eastAsia" w:ascii="宋体" w:hAnsi="宋体" w:eastAsia="宋体" w:cs="宋体"/>
                <w:color w:val="auto"/>
                <w:sz w:val="21"/>
                <w:szCs w:val="21"/>
                <w:highlight w:val="none"/>
                <w:lang w:val="en-US" w:eastAsia="zh-CN"/>
              </w:rPr>
            </w:pPr>
          </w:p>
        </w:tc>
      </w:tr>
      <w:tr w14:paraId="56FDA6F4">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32B0FFD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92" w:type="pct"/>
            <w:tcBorders>
              <w:top w:val="single" w:color="auto" w:sz="4" w:space="0"/>
              <w:left w:val="single" w:color="auto" w:sz="4" w:space="0"/>
              <w:bottom w:val="single" w:color="auto" w:sz="4" w:space="0"/>
              <w:right w:val="single" w:color="auto" w:sz="4" w:space="0"/>
            </w:tcBorders>
            <w:noWrap/>
            <w:vAlign w:val="center"/>
          </w:tcPr>
          <w:p w14:paraId="5992B4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钠、钾、氯离子浓度检测参比电极液(离子选择电极法)</w:t>
            </w:r>
          </w:p>
        </w:tc>
        <w:tc>
          <w:tcPr>
            <w:tcW w:w="424" w:type="pct"/>
            <w:vMerge w:val="continue"/>
            <w:tcBorders>
              <w:top w:val="nil"/>
              <w:left w:val="single" w:color="auto" w:sz="4" w:space="0"/>
              <w:bottom w:val="nil"/>
              <w:right w:val="single" w:color="auto" w:sz="4" w:space="0"/>
            </w:tcBorders>
            <w:noWrap/>
            <w:vAlign w:val="center"/>
          </w:tcPr>
          <w:p w14:paraId="5D9A6D2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6B6EBA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500ML</w:t>
            </w:r>
          </w:p>
        </w:tc>
        <w:tc>
          <w:tcPr>
            <w:tcW w:w="334" w:type="pct"/>
            <w:tcBorders>
              <w:top w:val="single" w:color="auto" w:sz="4" w:space="0"/>
              <w:left w:val="single" w:color="auto" w:sz="4" w:space="0"/>
              <w:bottom w:val="single" w:color="auto" w:sz="4" w:space="0"/>
              <w:right w:val="single" w:color="auto" w:sz="4" w:space="0"/>
            </w:tcBorders>
            <w:noWrap/>
            <w:vAlign w:val="center"/>
          </w:tcPr>
          <w:p w14:paraId="2C6B7D76">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55898B82">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35</w:t>
            </w:r>
          </w:p>
        </w:tc>
        <w:tc>
          <w:tcPr>
            <w:tcW w:w="591" w:type="pct"/>
            <w:tcBorders>
              <w:top w:val="single" w:color="auto" w:sz="4" w:space="0"/>
              <w:left w:val="single" w:color="auto" w:sz="4" w:space="0"/>
              <w:bottom w:val="single" w:color="auto" w:sz="4" w:space="0"/>
              <w:right w:val="single" w:color="auto" w:sz="4" w:space="0"/>
            </w:tcBorders>
            <w:noWrap/>
            <w:vAlign w:val="center"/>
          </w:tcPr>
          <w:p w14:paraId="406F2B4F">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1250.00</w:t>
            </w:r>
          </w:p>
        </w:tc>
        <w:tc>
          <w:tcPr>
            <w:tcW w:w="779" w:type="pct"/>
            <w:tcBorders>
              <w:top w:val="single" w:color="000000" w:sz="4" w:space="0"/>
              <w:left w:val="single" w:color="auto" w:sz="4" w:space="0"/>
              <w:bottom w:val="single" w:color="auto" w:sz="4" w:space="0"/>
              <w:right w:val="single" w:color="000000" w:sz="4" w:space="0"/>
            </w:tcBorders>
            <w:noWrap/>
            <w:vAlign w:val="center"/>
          </w:tcPr>
          <w:p w14:paraId="318FD01A">
            <w:pPr>
              <w:widowControl/>
              <w:jc w:val="center"/>
              <w:textAlignment w:val="center"/>
              <w:rPr>
                <w:rFonts w:hint="eastAsia" w:ascii="宋体" w:hAnsi="宋体" w:eastAsia="宋体" w:cs="宋体"/>
                <w:color w:val="auto"/>
                <w:sz w:val="21"/>
                <w:szCs w:val="21"/>
                <w:highlight w:val="none"/>
                <w:lang w:val="en-US" w:eastAsia="zh-CN"/>
              </w:rPr>
            </w:pPr>
          </w:p>
        </w:tc>
      </w:tr>
      <w:tr w14:paraId="737184B2">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56AD6FE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92" w:type="pct"/>
            <w:tcBorders>
              <w:top w:val="single" w:color="auto" w:sz="4" w:space="0"/>
              <w:left w:val="single" w:color="auto" w:sz="4" w:space="0"/>
              <w:bottom w:val="single" w:color="auto" w:sz="4" w:space="0"/>
              <w:right w:val="single" w:color="auto" w:sz="4" w:space="0"/>
            </w:tcBorders>
            <w:noWrap/>
            <w:vAlign w:val="center"/>
          </w:tcPr>
          <w:p w14:paraId="51943A0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钠、钾、氯离子浓度检测标准液（离子选择电极法）LOW</w:t>
            </w:r>
          </w:p>
        </w:tc>
        <w:tc>
          <w:tcPr>
            <w:tcW w:w="424" w:type="pct"/>
            <w:vMerge w:val="continue"/>
            <w:tcBorders>
              <w:top w:val="nil"/>
              <w:left w:val="single" w:color="auto" w:sz="4" w:space="0"/>
              <w:bottom w:val="nil"/>
              <w:right w:val="single" w:color="auto" w:sz="4" w:space="0"/>
            </w:tcBorders>
            <w:noWrap/>
            <w:vAlign w:val="center"/>
          </w:tcPr>
          <w:p w14:paraId="678E54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570AE94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10ml*3</w:t>
            </w:r>
          </w:p>
        </w:tc>
        <w:tc>
          <w:tcPr>
            <w:tcW w:w="334" w:type="pct"/>
            <w:tcBorders>
              <w:top w:val="single" w:color="auto" w:sz="4" w:space="0"/>
              <w:left w:val="single" w:color="auto" w:sz="4" w:space="0"/>
              <w:bottom w:val="single" w:color="auto" w:sz="4" w:space="0"/>
              <w:right w:val="single" w:color="auto" w:sz="4" w:space="0"/>
            </w:tcBorders>
            <w:noWrap/>
            <w:vAlign w:val="center"/>
          </w:tcPr>
          <w:p w14:paraId="4E912312">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7F3A2C5E">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4</w:t>
            </w:r>
          </w:p>
        </w:tc>
        <w:tc>
          <w:tcPr>
            <w:tcW w:w="591" w:type="pct"/>
            <w:tcBorders>
              <w:top w:val="single" w:color="auto" w:sz="4" w:space="0"/>
              <w:left w:val="single" w:color="auto" w:sz="4" w:space="0"/>
              <w:bottom w:val="single" w:color="auto" w:sz="4" w:space="0"/>
              <w:right w:val="single" w:color="auto" w:sz="4" w:space="0"/>
            </w:tcBorders>
            <w:noWrap/>
            <w:vAlign w:val="center"/>
          </w:tcPr>
          <w:p w14:paraId="3DC1FD63">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620.00</w:t>
            </w:r>
          </w:p>
        </w:tc>
        <w:tc>
          <w:tcPr>
            <w:tcW w:w="779" w:type="pct"/>
            <w:tcBorders>
              <w:top w:val="single" w:color="000000" w:sz="4" w:space="0"/>
              <w:left w:val="single" w:color="auto" w:sz="4" w:space="0"/>
              <w:bottom w:val="single" w:color="auto" w:sz="4" w:space="0"/>
              <w:right w:val="single" w:color="000000" w:sz="4" w:space="0"/>
            </w:tcBorders>
            <w:noWrap/>
            <w:vAlign w:val="center"/>
          </w:tcPr>
          <w:p w14:paraId="50351857">
            <w:pPr>
              <w:widowControl/>
              <w:jc w:val="center"/>
              <w:textAlignment w:val="center"/>
              <w:rPr>
                <w:rFonts w:hint="eastAsia" w:ascii="宋体" w:hAnsi="宋体" w:eastAsia="宋体" w:cs="宋体"/>
                <w:color w:val="auto"/>
                <w:sz w:val="21"/>
                <w:szCs w:val="21"/>
                <w:highlight w:val="none"/>
                <w:lang w:val="en-US" w:eastAsia="zh-CN"/>
              </w:rPr>
            </w:pPr>
          </w:p>
        </w:tc>
      </w:tr>
      <w:tr w14:paraId="15E93783">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5BD3794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92" w:type="pct"/>
            <w:tcBorders>
              <w:top w:val="single" w:color="auto" w:sz="4" w:space="0"/>
              <w:left w:val="single" w:color="auto" w:sz="4" w:space="0"/>
              <w:bottom w:val="single" w:color="auto" w:sz="4" w:space="0"/>
              <w:right w:val="single" w:color="auto" w:sz="4" w:space="0"/>
            </w:tcBorders>
            <w:noWrap/>
            <w:vAlign w:val="center"/>
          </w:tcPr>
          <w:p w14:paraId="64AF75C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钠、钾、氯离子浓度检测标准液（离子选择电极法）HIGH</w:t>
            </w:r>
          </w:p>
        </w:tc>
        <w:tc>
          <w:tcPr>
            <w:tcW w:w="424" w:type="pct"/>
            <w:vMerge w:val="continue"/>
            <w:tcBorders>
              <w:top w:val="nil"/>
              <w:left w:val="single" w:color="auto" w:sz="4" w:space="0"/>
              <w:bottom w:val="nil"/>
              <w:right w:val="single" w:color="auto" w:sz="4" w:space="0"/>
            </w:tcBorders>
            <w:noWrap/>
            <w:vAlign w:val="center"/>
          </w:tcPr>
          <w:p w14:paraId="5AABBC9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215FB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10ml*3</w:t>
            </w:r>
          </w:p>
        </w:tc>
        <w:tc>
          <w:tcPr>
            <w:tcW w:w="334" w:type="pct"/>
            <w:tcBorders>
              <w:top w:val="single" w:color="auto" w:sz="4" w:space="0"/>
              <w:left w:val="single" w:color="auto" w:sz="4" w:space="0"/>
              <w:bottom w:val="single" w:color="auto" w:sz="4" w:space="0"/>
              <w:right w:val="single" w:color="auto" w:sz="4" w:space="0"/>
            </w:tcBorders>
            <w:noWrap/>
            <w:vAlign w:val="center"/>
          </w:tcPr>
          <w:p w14:paraId="70B36818">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11E643C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4</w:t>
            </w:r>
          </w:p>
        </w:tc>
        <w:tc>
          <w:tcPr>
            <w:tcW w:w="591" w:type="pct"/>
            <w:tcBorders>
              <w:top w:val="single" w:color="auto" w:sz="4" w:space="0"/>
              <w:left w:val="single" w:color="auto" w:sz="4" w:space="0"/>
              <w:bottom w:val="single" w:color="auto" w:sz="4" w:space="0"/>
              <w:right w:val="single" w:color="auto" w:sz="4" w:space="0"/>
            </w:tcBorders>
            <w:noWrap/>
            <w:vAlign w:val="center"/>
          </w:tcPr>
          <w:p w14:paraId="6642E0F7">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620.00</w:t>
            </w:r>
          </w:p>
        </w:tc>
        <w:tc>
          <w:tcPr>
            <w:tcW w:w="779" w:type="pct"/>
            <w:tcBorders>
              <w:top w:val="single" w:color="000000" w:sz="4" w:space="0"/>
              <w:left w:val="single" w:color="auto" w:sz="4" w:space="0"/>
              <w:bottom w:val="single" w:color="auto" w:sz="4" w:space="0"/>
              <w:right w:val="single" w:color="000000" w:sz="4" w:space="0"/>
            </w:tcBorders>
            <w:noWrap/>
            <w:vAlign w:val="center"/>
          </w:tcPr>
          <w:p w14:paraId="3A81F5C8">
            <w:pPr>
              <w:widowControl/>
              <w:jc w:val="center"/>
              <w:textAlignment w:val="center"/>
              <w:rPr>
                <w:rFonts w:hint="eastAsia" w:ascii="宋体" w:hAnsi="宋体" w:eastAsia="宋体" w:cs="宋体"/>
                <w:color w:val="auto"/>
                <w:sz w:val="21"/>
                <w:szCs w:val="21"/>
                <w:highlight w:val="none"/>
                <w:lang w:val="en-US" w:eastAsia="zh-CN"/>
              </w:rPr>
            </w:pPr>
          </w:p>
        </w:tc>
      </w:tr>
      <w:tr w14:paraId="305EA9A2">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7B437D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92" w:type="pct"/>
            <w:tcBorders>
              <w:top w:val="single" w:color="auto" w:sz="4" w:space="0"/>
              <w:left w:val="single" w:color="auto" w:sz="4" w:space="0"/>
              <w:bottom w:val="single" w:color="auto" w:sz="4" w:space="0"/>
              <w:right w:val="single" w:color="auto" w:sz="4" w:space="0"/>
            </w:tcBorders>
            <w:noWrap/>
            <w:vAlign w:val="center"/>
          </w:tcPr>
          <w:p w14:paraId="7CB8A38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清洗液（ISE N）</w:t>
            </w:r>
          </w:p>
        </w:tc>
        <w:tc>
          <w:tcPr>
            <w:tcW w:w="424" w:type="pct"/>
            <w:vMerge w:val="continue"/>
            <w:tcBorders>
              <w:top w:val="nil"/>
              <w:left w:val="single" w:color="auto" w:sz="4" w:space="0"/>
              <w:bottom w:val="nil"/>
              <w:right w:val="single" w:color="auto" w:sz="4" w:space="0"/>
            </w:tcBorders>
            <w:noWrap/>
            <w:vAlign w:val="center"/>
          </w:tcPr>
          <w:p w14:paraId="632AA07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77DD6E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5*100ML</w:t>
            </w:r>
          </w:p>
        </w:tc>
        <w:tc>
          <w:tcPr>
            <w:tcW w:w="334" w:type="pct"/>
            <w:tcBorders>
              <w:top w:val="single" w:color="auto" w:sz="4" w:space="0"/>
              <w:left w:val="single" w:color="auto" w:sz="4" w:space="0"/>
              <w:bottom w:val="single" w:color="auto" w:sz="4" w:space="0"/>
              <w:right w:val="single" w:color="auto" w:sz="4" w:space="0"/>
            </w:tcBorders>
            <w:noWrap/>
            <w:vAlign w:val="center"/>
          </w:tcPr>
          <w:p w14:paraId="5B9ABCC6">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017BD760">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5</w:t>
            </w:r>
          </w:p>
        </w:tc>
        <w:tc>
          <w:tcPr>
            <w:tcW w:w="591" w:type="pct"/>
            <w:tcBorders>
              <w:top w:val="single" w:color="auto" w:sz="4" w:space="0"/>
              <w:left w:val="single" w:color="auto" w:sz="4" w:space="0"/>
              <w:bottom w:val="single" w:color="auto" w:sz="4" w:space="0"/>
              <w:right w:val="single" w:color="auto" w:sz="4" w:space="0"/>
            </w:tcBorders>
            <w:noWrap/>
            <w:vAlign w:val="center"/>
          </w:tcPr>
          <w:p w14:paraId="288A6CC8">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1400.00</w:t>
            </w:r>
          </w:p>
        </w:tc>
        <w:tc>
          <w:tcPr>
            <w:tcW w:w="779" w:type="pct"/>
            <w:tcBorders>
              <w:top w:val="single" w:color="000000" w:sz="4" w:space="0"/>
              <w:left w:val="single" w:color="auto" w:sz="4" w:space="0"/>
              <w:bottom w:val="single" w:color="auto" w:sz="4" w:space="0"/>
              <w:right w:val="single" w:color="000000" w:sz="4" w:space="0"/>
            </w:tcBorders>
            <w:noWrap/>
            <w:vAlign w:val="center"/>
          </w:tcPr>
          <w:p w14:paraId="1FEF0E76">
            <w:pPr>
              <w:widowControl/>
              <w:jc w:val="center"/>
              <w:textAlignment w:val="center"/>
              <w:rPr>
                <w:rFonts w:hint="eastAsia" w:ascii="宋体" w:hAnsi="宋体" w:eastAsia="宋体" w:cs="宋体"/>
                <w:color w:val="auto"/>
                <w:sz w:val="21"/>
                <w:szCs w:val="21"/>
                <w:highlight w:val="none"/>
                <w:lang w:val="en-US" w:eastAsia="zh-CN"/>
              </w:rPr>
            </w:pPr>
          </w:p>
        </w:tc>
      </w:tr>
      <w:tr w14:paraId="27151D97">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571C39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92" w:type="pct"/>
            <w:tcBorders>
              <w:top w:val="single" w:color="auto" w:sz="4" w:space="0"/>
              <w:left w:val="single" w:color="auto" w:sz="4" w:space="0"/>
              <w:bottom w:val="single" w:color="auto" w:sz="4" w:space="0"/>
              <w:right w:val="single" w:color="auto" w:sz="4" w:space="0"/>
            </w:tcBorders>
            <w:noWrap/>
            <w:vAlign w:val="center"/>
          </w:tcPr>
          <w:p w14:paraId="444887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卤素灯（50W）</w:t>
            </w:r>
          </w:p>
        </w:tc>
        <w:tc>
          <w:tcPr>
            <w:tcW w:w="424" w:type="pct"/>
            <w:vMerge w:val="continue"/>
            <w:tcBorders>
              <w:top w:val="nil"/>
              <w:left w:val="single" w:color="auto" w:sz="4" w:space="0"/>
              <w:bottom w:val="nil"/>
              <w:right w:val="single" w:color="auto" w:sz="4" w:space="0"/>
            </w:tcBorders>
            <w:noWrap/>
            <w:vAlign w:val="center"/>
          </w:tcPr>
          <w:p w14:paraId="1C456B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75817502">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08B71DA7">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auto" w:sz="4" w:space="0"/>
              <w:left w:val="single" w:color="auto" w:sz="4" w:space="0"/>
              <w:bottom w:val="single" w:color="auto" w:sz="4" w:space="0"/>
              <w:right w:val="single" w:color="auto" w:sz="4" w:space="0"/>
            </w:tcBorders>
            <w:noWrap/>
            <w:vAlign w:val="center"/>
          </w:tcPr>
          <w:p w14:paraId="215C2D1E">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5</w:t>
            </w:r>
          </w:p>
        </w:tc>
        <w:tc>
          <w:tcPr>
            <w:tcW w:w="591" w:type="pct"/>
            <w:tcBorders>
              <w:top w:val="single" w:color="auto" w:sz="4" w:space="0"/>
              <w:left w:val="single" w:color="auto" w:sz="4" w:space="0"/>
              <w:bottom w:val="single" w:color="auto" w:sz="4" w:space="0"/>
              <w:right w:val="single" w:color="auto" w:sz="4" w:space="0"/>
            </w:tcBorders>
            <w:noWrap/>
            <w:vAlign w:val="center"/>
          </w:tcPr>
          <w:p w14:paraId="1FA6B8A0">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4800.00</w:t>
            </w:r>
          </w:p>
        </w:tc>
        <w:tc>
          <w:tcPr>
            <w:tcW w:w="779" w:type="pct"/>
            <w:vMerge w:val="restart"/>
            <w:tcBorders>
              <w:top w:val="single" w:color="000000" w:sz="4" w:space="0"/>
              <w:left w:val="single" w:color="auto" w:sz="4" w:space="0"/>
              <w:right w:val="single" w:color="000000" w:sz="4" w:space="0"/>
            </w:tcBorders>
            <w:noWrap/>
            <w:vAlign w:val="center"/>
          </w:tcPr>
          <w:p w14:paraId="31A15427">
            <w:pPr>
              <w:widowControl/>
              <w:tabs>
                <w:tab w:val="left" w:pos="309"/>
              </w:tabs>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允许进口产品投标，满足要求的国内产品也可参与竞争</w:t>
            </w:r>
          </w:p>
        </w:tc>
      </w:tr>
      <w:tr w14:paraId="5A48A491">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277CC0E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92" w:type="pct"/>
            <w:tcBorders>
              <w:top w:val="single" w:color="auto" w:sz="4" w:space="0"/>
              <w:left w:val="single" w:color="auto" w:sz="4" w:space="0"/>
              <w:bottom w:val="single" w:color="auto" w:sz="4" w:space="0"/>
              <w:right w:val="single" w:color="auto" w:sz="4" w:space="0"/>
            </w:tcBorders>
            <w:noWrap/>
            <w:vAlign w:val="center"/>
          </w:tcPr>
          <w:p w14:paraId="1916CA1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008反应杯</w:t>
            </w:r>
          </w:p>
        </w:tc>
        <w:tc>
          <w:tcPr>
            <w:tcW w:w="424" w:type="pct"/>
            <w:vMerge w:val="continue"/>
            <w:tcBorders>
              <w:top w:val="nil"/>
              <w:left w:val="single" w:color="auto" w:sz="4" w:space="0"/>
              <w:bottom w:val="nil"/>
              <w:right w:val="single" w:color="auto" w:sz="4" w:space="0"/>
            </w:tcBorders>
            <w:noWrap/>
            <w:vAlign w:val="center"/>
          </w:tcPr>
          <w:p w14:paraId="5E7391F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D02736D">
            <w:pPr>
              <w:jc w:val="center"/>
              <w:rPr>
                <w:rFonts w:hint="eastAsia" w:ascii="宋体" w:hAnsi="宋体" w:eastAsia="宋体" w:cs="宋体"/>
                <w:color w:val="auto"/>
                <w:sz w:val="21"/>
                <w:szCs w:val="21"/>
                <w:highlight w:val="none"/>
                <w:lang w:val="en-US" w:eastAsia="zh-CN"/>
              </w:rPr>
            </w:pPr>
          </w:p>
        </w:tc>
        <w:tc>
          <w:tcPr>
            <w:tcW w:w="334" w:type="pct"/>
            <w:tcBorders>
              <w:top w:val="single" w:color="auto" w:sz="4" w:space="0"/>
              <w:left w:val="single" w:color="auto" w:sz="4" w:space="0"/>
              <w:bottom w:val="single" w:color="auto" w:sz="4" w:space="0"/>
              <w:right w:val="single" w:color="auto" w:sz="4" w:space="0"/>
            </w:tcBorders>
            <w:noWrap/>
            <w:vAlign w:val="center"/>
          </w:tcPr>
          <w:p w14:paraId="037D8949">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auto" w:sz="4" w:space="0"/>
              <w:left w:val="single" w:color="auto" w:sz="4" w:space="0"/>
              <w:bottom w:val="single" w:color="auto" w:sz="4" w:space="0"/>
              <w:right w:val="single" w:color="auto" w:sz="4" w:space="0"/>
            </w:tcBorders>
            <w:noWrap/>
            <w:vAlign w:val="center"/>
          </w:tcPr>
          <w:p w14:paraId="1AF8D186">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default" w:ascii="华文宋体" w:hAnsi="华文宋体" w:eastAsia="华文宋体" w:cs="华文宋体"/>
                <w:i w:val="0"/>
                <w:iCs w:val="0"/>
                <w:color w:val="auto"/>
                <w:kern w:val="0"/>
                <w:sz w:val="21"/>
                <w:szCs w:val="21"/>
                <w:highlight w:val="none"/>
                <w:u w:val="none"/>
                <w:lang w:val="en-US" w:eastAsia="zh-CN" w:bidi="ar"/>
              </w:rPr>
              <w:t>1</w:t>
            </w:r>
          </w:p>
        </w:tc>
        <w:tc>
          <w:tcPr>
            <w:tcW w:w="591" w:type="pct"/>
            <w:tcBorders>
              <w:top w:val="single" w:color="auto" w:sz="4" w:space="0"/>
              <w:left w:val="single" w:color="auto" w:sz="4" w:space="0"/>
              <w:bottom w:val="single" w:color="auto" w:sz="4" w:space="0"/>
              <w:right w:val="single" w:color="auto" w:sz="4" w:space="0"/>
            </w:tcBorders>
            <w:noWrap/>
            <w:vAlign w:val="center"/>
          </w:tcPr>
          <w:p w14:paraId="276ABD9D">
            <w:pPr>
              <w:keepNext w:val="0"/>
              <w:keepLines w:val="0"/>
              <w:widowControl/>
              <w:suppressLineNumbers w:val="0"/>
              <w:jc w:val="center"/>
              <w:textAlignment w:val="center"/>
              <w:rPr>
                <w:rFonts w:hint="eastAsia" w:ascii="华文宋体" w:hAnsi="华文宋体" w:eastAsia="华文宋体" w:cs="华文宋体"/>
                <w:i w:val="0"/>
                <w:iCs w:val="0"/>
                <w:color w:val="auto"/>
                <w:kern w:val="0"/>
                <w:sz w:val="21"/>
                <w:szCs w:val="21"/>
                <w:highlight w:val="none"/>
                <w:u w:val="none"/>
                <w:lang w:val="en-US" w:eastAsia="zh-CN" w:bidi="ar"/>
              </w:rPr>
            </w:pPr>
            <w:r>
              <w:rPr>
                <w:rFonts w:hint="default" w:ascii="华文宋体" w:hAnsi="华文宋体" w:eastAsia="华文宋体" w:cs="华文宋体"/>
                <w:i w:val="0"/>
                <w:iCs w:val="0"/>
                <w:color w:val="auto"/>
                <w:kern w:val="0"/>
                <w:sz w:val="21"/>
                <w:szCs w:val="21"/>
                <w:highlight w:val="none"/>
                <w:u w:val="none"/>
                <w:lang w:val="en-US" w:eastAsia="zh-CN" w:bidi="ar"/>
              </w:rPr>
              <w:t>6900.00</w:t>
            </w:r>
          </w:p>
        </w:tc>
        <w:tc>
          <w:tcPr>
            <w:tcW w:w="779" w:type="pct"/>
            <w:vMerge w:val="continue"/>
            <w:tcBorders>
              <w:left w:val="single" w:color="auto" w:sz="4" w:space="0"/>
              <w:bottom w:val="single" w:color="auto" w:sz="4" w:space="0"/>
              <w:right w:val="single" w:color="000000" w:sz="4" w:space="0"/>
            </w:tcBorders>
            <w:noWrap/>
            <w:vAlign w:val="center"/>
          </w:tcPr>
          <w:p w14:paraId="0895D484">
            <w:pPr>
              <w:widowControl/>
              <w:jc w:val="center"/>
              <w:textAlignment w:val="center"/>
              <w:rPr>
                <w:rFonts w:hint="eastAsia" w:ascii="宋体" w:hAnsi="宋体" w:eastAsia="宋体" w:cs="宋体"/>
                <w:color w:val="auto"/>
                <w:sz w:val="21"/>
                <w:szCs w:val="21"/>
                <w:highlight w:val="none"/>
                <w:lang w:val="en-US" w:eastAsia="zh-CN"/>
              </w:rPr>
            </w:pPr>
          </w:p>
        </w:tc>
      </w:tr>
      <w:tr w14:paraId="64883B0F">
        <w:tblPrEx>
          <w:tblCellMar>
            <w:top w:w="0" w:type="dxa"/>
            <w:left w:w="108" w:type="dxa"/>
            <w:bottom w:w="0" w:type="dxa"/>
            <w:right w:w="108" w:type="dxa"/>
          </w:tblCellMar>
        </w:tblPrEx>
        <w:trPr>
          <w:trHeight w:val="90" w:hRule="atLeast"/>
          <w:jc w:val="center"/>
        </w:trPr>
        <w:tc>
          <w:tcPr>
            <w:tcW w:w="5000" w:type="pct"/>
            <w:gridSpan w:val="8"/>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720" w:hangingChars="3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324609E7">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sz w:val="24"/>
                <w:szCs w:val="24"/>
                <w:highlight w:val="none"/>
              </w:rPr>
              <w:t>投标人的投标文件必须标明所投货物的品牌与参数，保证原厂正品供货。</w:t>
            </w:r>
          </w:p>
          <w:p w14:paraId="2D49FDA8">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sz w:val="24"/>
                <w:szCs w:val="24"/>
                <w:highlight w:val="none"/>
              </w:rPr>
              <w:t>提供投标产品与配套机型使用的三年质保、维保服务。（</w:t>
            </w:r>
            <w:r>
              <w:rPr>
                <w:rFonts w:hint="eastAsia" w:ascii="宋体" w:hAnsi="宋体" w:cs="宋体"/>
                <w:bCs/>
                <w:color w:val="auto"/>
                <w:sz w:val="24"/>
                <w:szCs w:val="24"/>
                <w:highlight w:val="none"/>
                <w:lang w:val="en-US" w:eastAsia="zh-CN"/>
              </w:rPr>
              <w:t>在投标文件中</w:t>
            </w:r>
            <w:r>
              <w:rPr>
                <w:rFonts w:hint="eastAsia" w:ascii="宋体" w:hAnsi="宋体" w:eastAsia="宋体" w:cs="宋体"/>
                <w:bCs/>
                <w:color w:val="auto"/>
                <w:sz w:val="24"/>
                <w:szCs w:val="24"/>
                <w:highlight w:val="none"/>
              </w:rPr>
              <w:t>提供承诺函</w:t>
            </w:r>
            <w:r>
              <w:rPr>
                <w:rFonts w:hint="eastAsia" w:ascii="宋体" w:hAnsi="宋体" w:cs="宋体"/>
                <w:bCs/>
                <w:color w:val="auto"/>
                <w:sz w:val="24"/>
                <w:szCs w:val="24"/>
                <w:highlight w:val="none"/>
                <w:lang w:val="en-US" w:eastAsia="zh-CN"/>
              </w:rPr>
              <w:t>并加盖投标人公章</w:t>
            </w:r>
            <w:r>
              <w:rPr>
                <w:rFonts w:hint="eastAsia" w:ascii="宋体" w:hAnsi="宋体" w:eastAsia="宋体" w:cs="宋体"/>
                <w:bCs/>
                <w:color w:val="auto"/>
                <w:sz w:val="24"/>
                <w:szCs w:val="24"/>
                <w:highlight w:val="none"/>
              </w:rPr>
              <w:t>）</w:t>
            </w:r>
          </w:p>
          <w:p w14:paraId="73C45847">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cs="宋体"/>
                <w:b w:val="0"/>
                <w:bCs/>
                <w:color w:val="auto"/>
                <w:sz w:val="24"/>
                <w:szCs w:val="24"/>
                <w:highlight w:val="none"/>
                <w:lang w:eastAsia="zh-CN"/>
              </w:rPr>
              <w:t>预估使用量仅供投标人报价时参考，按实结算</w:t>
            </w:r>
            <w:r>
              <w:rPr>
                <w:rFonts w:hint="eastAsia" w:ascii="宋体" w:hAnsi="宋体" w:eastAsia="宋体" w:cs="宋体"/>
                <w:b w:val="0"/>
                <w:bCs/>
                <w:color w:val="auto"/>
                <w:sz w:val="24"/>
                <w:szCs w:val="24"/>
                <w:highlight w:val="none"/>
              </w:rPr>
              <w:t>；</w:t>
            </w:r>
          </w:p>
          <w:p w14:paraId="5B8898E9">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bCs/>
                <w:color w:val="auto"/>
                <w:sz w:val="24"/>
                <w:szCs w:val="24"/>
                <w:highlight w:val="none"/>
              </w:rPr>
              <w:t>本项目一次性规划，分步实施，按实结算。本项目试剂进入采购人医院SPD管理（费率1.4%）；</w:t>
            </w:r>
          </w:p>
          <w:p w14:paraId="3C1498AE">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cs="宋体"/>
                <w:bCs/>
                <w:color w:val="auto"/>
                <w:sz w:val="24"/>
                <w:szCs w:val="24"/>
                <w:highlight w:val="none"/>
                <w:lang w:val="en-US" w:eastAsia="zh-CN"/>
              </w:rPr>
              <w:t>服务期</w:t>
            </w:r>
            <w:r>
              <w:rPr>
                <w:rFonts w:hint="eastAsia" w:ascii="宋体" w:hAnsi="宋体" w:eastAsia="宋体" w:cs="宋体"/>
                <w:bCs/>
                <w:color w:val="auto"/>
                <w:sz w:val="24"/>
                <w:szCs w:val="24"/>
                <w:highlight w:val="none"/>
              </w:rPr>
              <w:t>限内如遇国家、省医保带量采购等相关政策调整，按国家、省医保带量采购等相关政策执行；</w:t>
            </w:r>
          </w:p>
          <w:p w14:paraId="7F1DDF87">
            <w:pPr>
              <w:widowControl/>
              <w:numPr>
                <w:ilvl w:val="0"/>
                <w:numId w:val="0"/>
              </w:numPr>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6.</w:t>
            </w:r>
            <w:r>
              <w:rPr>
                <w:rFonts w:hint="eastAsia" w:ascii="宋体" w:hAnsi="宋体" w:eastAsia="宋体" w:cs="宋体"/>
                <w:bCs/>
                <w:color w:val="auto"/>
                <w:sz w:val="24"/>
                <w:szCs w:val="24"/>
                <w:highlight w:val="none"/>
                <w:lang w:eastAsia="zh-CN"/>
              </w:rPr>
              <w:t>中标人供货价格计算方式如下：</w:t>
            </w:r>
            <w:r>
              <w:rPr>
                <w:rFonts w:hint="eastAsia" w:ascii="宋体" w:hAnsi="宋体" w:cs="宋体"/>
                <w:bCs/>
                <w:color w:val="auto"/>
                <w:sz w:val="24"/>
                <w:szCs w:val="24"/>
                <w:highlight w:val="none"/>
                <w:lang w:val="en-US" w:eastAsia="zh-CN"/>
              </w:rPr>
              <w:t>单价</w:t>
            </w:r>
            <w:r>
              <w:rPr>
                <w:rFonts w:hint="eastAsia" w:ascii="宋体" w:hAnsi="宋体" w:eastAsia="宋体" w:cs="宋体"/>
                <w:bCs/>
                <w:color w:val="auto"/>
                <w:sz w:val="24"/>
                <w:szCs w:val="24"/>
                <w:highlight w:val="none"/>
                <w:lang w:eastAsia="zh-CN"/>
              </w:rPr>
              <w:t>最高限价（单价）×中标费率=供货价格（单价）。如所投产品的安徽省医药集中采购中心平台限价低于该项目供货价格（单价），则按平台限价（单价）×中标费率=供货价格（单价）。供货价格（单价）结果保留两位小数。</w:t>
            </w:r>
          </w:p>
          <w:p w14:paraId="51C7D152">
            <w:pPr>
              <w:widowControl/>
              <w:spacing w:line="360" w:lineRule="auto"/>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lang w:eastAsia="zh-CN"/>
              </w:rPr>
              <w:t>.所投产品如有两票制要求则须执行两票制相关要求；所投产品如安徽省医药集中采购中心有相关要求，则须执行安徽省医药集中采购中心相关要求。</w:t>
            </w:r>
          </w:p>
          <w:p w14:paraId="1A9CEB48">
            <w:pPr>
              <w:widowControl/>
              <w:spacing w:line="360" w:lineRule="auto"/>
              <w:jc w:val="both"/>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.所有技术参数及要求采购人验收时将逐条核对，如发现与实际情况不符、虚假响应</w:t>
            </w:r>
            <w:r>
              <w:rPr>
                <w:rFonts w:hint="eastAsia" w:ascii="宋体" w:hAnsi="宋体" w:cs="宋体"/>
                <w:b w:val="0"/>
                <w:bCs/>
                <w:color w:val="auto"/>
                <w:sz w:val="24"/>
                <w:szCs w:val="24"/>
                <w:highlight w:val="none"/>
                <w:lang w:eastAsia="zh-CN"/>
              </w:rPr>
              <w:t>等，采购人有权报监管部门并追究违约责任</w:t>
            </w:r>
            <w:r>
              <w:rPr>
                <w:rFonts w:hint="eastAsia" w:ascii="宋体" w:hAnsi="宋体" w:eastAsia="宋体" w:cs="宋体"/>
                <w:bCs/>
                <w:color w:val="auto"/>
                <w:sz w:val="24"/>
                <w:szCs w:val="24"/>
                <w:highlight w:val="none"/>
              </w:rPr>
              <w:t>。</w:t>
            </w:r>
          </w:p>
          <w:p w14:paraId="10FAF5BC">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.投标人应按照采购文件要求提供证明材料。若投标提供了采购文件未要求的证明材料，评标委员会将不予评审。</w:t>
            </w:r>
          </w:p>
          <w:p w14:paraId="1FE5FBBA">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.投标人提供的证明材料须清晰的反映评审内容，如因材料模糊不清，导致评标委员会无法辨认的，评标委员会可以不予认可，一切后果由投标人自行承担。</w:t>
            </w:r>
          </w:p>
          <w:p w14:paraId="766A4470">
            <w:pPr>
              <w:widowControl/>
              <w:spacing w:line="360" w:lineRule="auto"/>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最高投标费率</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100%</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投标费率</w:t>
            </w:r>
            <w:r>
              <w:rPr>
                <w:rFonts w:hint="eastAsia" w:ascii="宋体" w:hAnsi="宋体" w:cs="宋体"/>
                <w:b/>
                <w:color w:val="auto"/>
                <w:sz w:val="24"/>
                <w:szCs w:val="24"/>
                <w:highlight w:val="none"/>
                <w:lang w:eastAsia="zh-CN"/>
              </w:rPr>
              <w:t>高于</w:t>
            </w:r>
            <w:r>
              <w:rPr>
                <w:rFonts w:hint="eastAsia" w:ascii="宋体" w:hAnsi="宋体" w:cs="宋体"/>
                <w:b/>
                <w:color w:val="auto"/>
                <w:sz w:val="24"/>
                <w:szCs w:val="24"/>
                <w:highlight w:val="none"/>
                <w:lang w:val="en-US" w:eastAsia="zh-CN"/>
              </w:rPr>
              <w:t>最高投标费率</w:t>
            </w:r>
            <w:r>
              <w:rPr>
                <w:rFonts w:hint="eastAsia" w:ascii="宋体" w:hAnsi="宋体" w:cs="宋体"/>
                <w:b/>
                <w:color w:val="auto"/>
                <w:sz w:val="24"/>
                <w:szCs w:val="24"/>
                <w:highlight w:val="none"/>
                <w:lang w:eastAsia="zh-CN"/>
              </w:rPr>
              <w:t>为无效报价，按废标处理。</w:t>
            </w:r>
          </w:p>
        </w:tc>
      </w:tr>
      <w:bookmarkEnd w:id="0"/>
      <w:bookmarkEnd w:id="1"/>
    </w:tbl>
    <w:p w14:paraId="1B19FFA1">
      <w:pPr>
        <w:pStyle w:val="7"/>
        <w:shd w:val="clear" w:color="auto" w:fill="FFFFFF"/>
        <w:spacing w:line="36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二、质量要求</w:t>
      </w:r>
    </w:p>
    <w:p w14:paraId="4F707A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29068E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2.保证投标产品的质量，其供货时剩余有效期时间不得少于有效期的2/3。</w:t>
      </w:r>
    </w:p>
    <w:p w14:paraId="7B8645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3.保证是原产地生产的原装产品，否则视为假冒伪劣产品。</w:t>
      </w:r>
    </w:p>
    <w:p w14:paraId="691E5EBC">
      <w:pPr>
        <w:pStyle w:val="7"/>
        <w:numPr>
          <w:ilvl w:val="0"/>
          <w:numId w:val="0"/>
        </w:numPr>
        <w:shd w:val="clear" w:color="auto" w:fill="FFFFFF"/>
        <w:spacing w:line="360" w:lineRule="auto"/>
        <w:ind w:lef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服务期</w:t>
      </w:r>
    </w:p>
    <w:p w14:paraId="4D254D8E">
      <w:pPr>
        <w:pStyle w:val="7"/>
        <w:shd w:val="clear" w:color="auto" w:fill="FFFFFF"/>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执行日起一年或采购费用总额达到年度总中标价（预算金额*中标费率）时，两者以先到者为准，在供货期内按照采购人的要求分批供货，据实结算。本项目采用“1+1+1”模式，服务期满经采购人年度考核合格（考核评分在85分及以上），并经双方协商一致可续签2次合同（一年一签）。</w:t>
      </w:r>
    </w:p>
    <w:p w14:paraId="2B1D12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四、供货及售后要求</w:t>
      </w:r>
    </w:p>
    <w:p w14:paraId="156386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1.中标人接到采购人供货通知，根据采购人通知的规格型号和数量按计划送货，按照采购人要求送至指定地点，负责运输。</w:t>
      </w:r>
    </w:p>
    <w:p w14:paraId="262F2AB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2.中标人根据采购人采购计划进行供货，不允许超计划供货，超出计划的数量，采购人不予验收入库，由中标人无条件带回。</w:t>
      </w:r>
    </w:p>
    <w:p w14:paraId="7A86A2D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3.中标人所投的品牌货物在供货或使用过程中出现质量和使用问题，采购人有权要求更换，直至采购人满意，且不再另行支付任何费用。</w:t>
      </w:r>
    </w:p>
    <w:p w14:paraId="1A2215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4.按采购人实际需求进行供货，中标人须无条件满足采购人需求，确保供货质量并及时供货。</w:t>
      </w:r>
    </w:p>
    <w:p w14:paraId="0E7A3B72">
      <w:pPr>
        <w:spacing w:line="360" w:lineRule="auto"/>
        <w:rPr>
          <w:rFonts w:hint="eastAsia" w:ascii="宋体" w:hAnsi="宋体" w:eastAsia="宋体" w:cs="宋体"/>
          <w:b/>
          <w:bCs/>
          <w:color w:val="auto"/>
          <w:sz w:val="24"/>
          <w:szCs w:val="24"/>
          <w:highlight w:val="none"/>
        </w:rPr>
      </w:pPr>
    </w:p>
    <w:p w14:paraId="28A68C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五、验收</w:t>
      </w:r>
    </w:p>
    <w:p w14:paraId="1A70B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验收时采购人和中标人双方共同实施验收工作，验收合格后，结果和验收报告经双方确认后生效。</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六、付款方式</w:t>
      </w:r>
    </w:p>
    <w:p w14:paraId="004B406C">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合同签订后按甲方计划要求分批供货，按实结算，货到验收合格、收到正规发票后6个月内付款。</w:t>
      </w:r>
    </w:p>
    <w:p w14:paraId="1384A360">
      <w:pPr>
        <w:spacing w:line="360" w:lineRule="auto"/>
        <w:rPr>
          <w:rFonts w:hint="default" w:ascii="宋体" w:hAnsi="宋体" w:cs="宋体"/>
          <w:b/>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考核指标</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6106"/>
      </w:tblGrid>
      <w:tr w14:paraId="6AE6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DCA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医用试剂年度服务期考核指标（85分</w:t>
            </w:r>
            <w:r>
              <w:rPr>
                <w:rFonts w:hint="eastAsia" w:ascii="宋体" w:hAnsi="宋体" w:cs="宋体"/>
                <w:b/>
                <w:bCs/>
                <w:i w:val="0"/>
                <w:iCs w:val="0"/>
                <w:color w:val="auto"/>
                <w:kern w:val="0"/>
                <w:sz w:val="22"/>
                <w:szCs w:val="22"/>
                <w:highlight w:val="none"/>
                <w:u w:val="none"/>
                <w:lang w:val="en-US" w:eastAsia="zh-CN" w:bidi="ar"/>
              </w:rPr>
              <w:t>及以上</w:t>
            </w:r>
            <w:r>
              <w:rPr>
                <w:rFonts w:hint="eastAsia" w:ascii="宋体" w:hAnsi="宋体" w:eastAsia="宋体" w:cs="宋体"/>
                <w:b/>
                <w:bCs/>
                <w:i w:val="0"/>
                <w:iCs w:val="0"/>
                <w:color w:val="auto"/>
                <w:kern w:val="0"/>
                <w:sz w:val="22"/>
                <w:szCs w:val="22"/>
                <w:highlight w:val="none"/>
                <w:u w:val="none"/>
                <w:lang w:val="en-US" w:eastAsia="zh-CN" w:bidi="ar"/>
              </w:rPr>
              <w:t>合格）</w:t>
            </w:r>
          </w:p>
        </w:tc>
      </w:tr>
      <w:tr w14:paraId="4900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5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产品品质保证能力：30</w:t>
            </w:r>
          </w:p>
        </w:tc>
        <w:tc>
          <w:tcPr>
            <w:tcW w:w="3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40A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①签订供应商服务承诺书、购销廉洁承诺书，未签订扣5分；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②产品发生质量问题一次扣5分；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③未按照医院要求提供产品检验报告、随货同行或提供的批检报告与实物不符或批检报告未加盖供应商的印章等，发生一次扣2分。</w:t>
            </w:r>
          </w:p>
        </w:tc>
      </w:tr>
      <w:tr w14:paraId="458B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06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产品的资质证件：25</w:t>
            </w:r>
          </w:p>
        </w:tc>
        <w:tc>
          <w:tcPr>
            <w:tcW w:w="3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1CB8">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提供合格的供应商、生产企业以及产品的资质，包括供应商年检内的营业执照、生产厂家有效期内的生产许可证、有效期内的产品注册证（备案文件）等。一项不合格扣5分。</w:t>
            </w:r>
          </w:p>
        </w:tc>
      </w:tr>
      <w:tr w14:paraId="1446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60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供货情况：20</w:t>
            </w:r>
          </w:p>
        </w:tc>
        <w:tc>
          <w:tcPr>
            <w:tcW w:w="3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2C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①未按照采购员提出的供货时间送货，发生一次扣2分；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②供应商应按采购员通知的产品名称、规格型号、数量供货。多送、少送均视为未按要求送货，发生一次扣2分。</w:t>
            </w:r>
          </w:p>
        </w:tc>
      </w:tr>
      <w:tr w14:paraId="4802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B03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服务情况：25</w:t>
            </w:r>
          </w:p>
        </w:tc>
        <w:tc>
          <w:tcPr>
            <w:tcW w:w="3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26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①库房验货需要退货、换货，供应商未按库房要求及时办理的，发生一次扣5分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②供应商未按医院的要求开具送货单、票据的，发生一次扣5分；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③所有产品都必须送达库房，并按要求摆放整齐，违反一次扣5分；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④因使用产品导致可疑医疗器械不良事件、医疗纠纷等，供应商应按医院通知的时间到院处理，若供应商不能积极配合妥善处理的，发生一次扣10分。</w:t>
            </w:r>
          </w:p>
        </w:tc>
      </w:tr>
    </w:tbl>
    <w:p w14:paraId="528AE3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2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2025-08-04T09:41:27Z</dcterms:created>
  <dc:creator>Administrator</dc:creator>
  <cp:lastModifiedBy>w y l</cp:lastModifiedBy>
  <dcterms:modified xsi:type="dcterms:W3CDTF">2025-08-04T09:42:52Z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CC4460C1652F4987AC49E8B02D2AA882_12</vt:lpwstr>
  </property>
</Properties>
</file>