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5B90">
      <w:pPr>
        <w:pStyle w:val="2"/>
        <w:spacing w:before="62" w:beforeLines="20" w:after="62" w:afterLines="20" w:line="360" w:lineRule="auto"/>
        <w:ind w:firstLine="0" w:firstLineChars="0"/>
        <w:jc w:val="center"/>
        <w:rPr>
          <w:rFonts w:hint="eastAsia" w:asciiTheme="majorEastAsia" w:hAnsiTheme="majorEastAsia" w:eastAsiaTheme="majorEastAsia" w:cstheme="majorEastAsia"/>
          <w:b/>
          <w:i w:val="0"/>
          <w:kern w:val="2"/>
          <w:sz w:val="32"/>
          <w:szCs w:val="32"/>
          <w:lang w:val="en-US" w:eastAsia="zh-CN" w:bidi="ar-SA"/>
        </w:rPr>
      </w:pPr>
      <w:r>
        <w:rPr>
          <w:rFonts w:hint="eastAsia" w:asciiTheme="majorEastAsia" w:hAnsiTheme="majorEastAsia" w:eastAsiaTheme="majorEastAsia" w:cstheme="majorEastAsia"/>
          <w:b/>
          <w:i w:val="0"/>
          <w:kern w:val="2"/>
          <w:sz w:val="32"/>
          <w:szCs w:val="32"/>
          <w:lang w:val="zh-CN" w:eastAsia="zh-CN" w:bidi="ar-SA"/>
        </w:rPr>
        <w:t>货物需求及参数要求</w:t>
      </w:r>
    </w:p>
    <w:p w14:paraId="6A6A2124">
      <w:pPr>
        <w:widowControl/>
        <w:numPr>
          <w:ilvl w:val="0"/>
          <w:numId w:val="0"/>
        </w:numPr>
        <w:spacing w:line="360" w:lineRule="auto"/>
        <w:ind w:firstLine="480" w:firstLineChars="200"/>
        <w:jc w:val="left"/>
        <w:rPr>
          <w:rFonts w:hint="eastAsia" w:ascii="宋体" w:hAnsi="宋体" w:eastAsia="宋体"/>
          <w:color w:val="auto"/>
          <w:sz w:val="24"/>
          <w:szCs w:val="18"/>
          <w:highlight w:val="none"/>
        </w:rPr>
      </w:pP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谈判</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4B1FB172">
      <w:pPr>
        <w:widowControl/>
        <w:numPr>
          <w:ilvl w:val="0"/>
          <w:numId w:val="0"/>
        </w:numPr>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货物需求一览表</w:t>
      </w:r>
      <w:bookmarkStart w:id="0" w:name="_Hlk106267351"/>
      <w:bookmarkStart w:id="1" w:name="_Hlk96158360"/>
    </w:p>
    <w:tbl>
      <w:tblPr>
        <w:tblStyle w:val="5"/>
        <w:tblW w:w="8870" w:type="dxa"/>
        <w:jc w:val="center"/>
        <w:tblLayout w:type="fixed"/>
        <w:tblCellMar>
          <w:top w:w="0" w:type="dxa"/>
          <w:left w:w="108" w:type="dxa"/>
          <w:bottom w:w="0" w:type="dxa"/>
          <w:right w:w="108" w:type="dxa"/>
        </w:tblCellMar>
      </w:tblPr>
      <w:tblGrid>
        <w:gridCol w:w="1062"/>
        <w:gridCol w:w="1414"/>
        <w:gridCol w:w="2010"/>
        <w:gridCol w:w="1125"/>
        <w:gridCol w:w="1260"/>
        <w:gridCol w:w="1170"/>
        <w:gridCol w:w="829"/>
      </w:tblGrid>
      <w:tr w14:paraId="520A7A67">
        <w:tblPrEx>
          <w:tblCellMar>
            <w:top w:w="0" w:type="dxa"/>
            <w:left w:w="108" w:type="dxa"/>
            <w:bottom w:w="0" w:type="dxa"/>
            <w:right w:w="108" w:type="dxa"/>
          </w:tblCellMar>
        </w:tblPrEx>
        <w:trPr>
          <w:trHeight w:val="652" w:hRule="atLeast"/>
          <w:jc w:val="center"/>
        </w:trPr>
        <w:tc>
          <w:tcPr>
            <w:tcW w:w="1062" w:type="dxa"/>
            <w:tcBorders>
              <w:top w:val="single" w:color="000000" w:sz="4" w:space="0"/>
              <w:left w:val="single" w:color="000000" w:sz="4" w:space="0"/>
              <w:bottom w:val="single" w:color="auto" w:sz="4" w:space="0"/>
              <w:right w:val="single" w:color="000000" w:sz="4" w:space="0"/>
            </w:tcBorders>
            <w:noWrap/>
            <w:vAlign w:val="center"/>
          </w:tcPr>
          <w:p w14:paraId="50F1521F">
            <w:pPr>
              <w:widowControl/>
              <w:spacing w:line="240" w:lineRule="auto"/>
              <w:jc w:val="center"/>
              <w:textAlignment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kern w:val="0"/>
                <w:sz w:val="21"/>
                <w:szCs w:val="21"/>
                <w:lang w:val="en-US" w:eastAsia="zh-CN" w:bidi="ar"/>
              </w:rPr>
              <w:t>序号</w:t>
            </w:r>
          </w:p>
        </w:tc>
        <w:tc>
          <w:tcPr>
            <w:tcW w:w="1414" w:type="dxa"/>
            <w:tcBorders>
              <w:top w:val="single" w:color="000000" w:sz="4" w:space="0"/>
              <w:left w:val="single" w:color="000000" w:sz="4" w:space="0"/>
              <w:bottom w:val="single" w:color="auto" w:sz="4" w:space="0"/>
              <w:right w:val="single" w:color="000000" w:sz="4" w:space="0"/>
            </w:tcBorders>
            <w:noWrap/>
            <w:vAlign w:val="center"/>
          </w:tcPr>
          <w:p w14:paraId="29F7B3D8">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名称</w:t>
            </w:r>
          </w:p>
        </w:tc>
        <w:tc>
          <w:tcPr>
            <w:tcW w:w="2010" w:type="dxa"/>
            <w:tcBorders>
              <w:top w:val="single" w:color="000000" w:sz="4" w:space="0"/>
              <w:left w:val="single" w:color="000000" w:sz="4" w:space="0"/>
              <w:bottom w:val="single" w:color="auto" w:sz="4" w:space="0"/>
              <w:right w:val="single" w:color="000000" w:sz="4" w:space="0"/>
            </w:tcBorders>
            <w:noWrap/>
            <w:vAlign w:val="center"/>
          </w:tcPr>
          <w:p w14:paraId="2A13CCF2">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技术参数</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D50C3FC">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单位</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A86FBA">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三年预估</w:t>
            </w:r>
          </w:p>
          <w:p w14:paraId="30F54E41">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使用量</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11F812FB">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bidi="ar"/>
              </w:rPr>
              <w:t>拟采购</w:t>
            </w:r>
            <w:r>
              <w:rPr>
                <w:rFonts w:hint="eastAsia" w:asciiTheme="minorEastAsia" w:hAnsiTheme="minorEastAsia" w:eastAsiaTheme="minorEastAsia" w:cstheme="minorEastAsia"/>
                <w:b/>
                <w:bCs/>
                <w:kern w:val="0"/>
                <w:sz w:val="21"/>
                <w:szCs w:val="21"/>
                <w:lang w:val="en-US" w:eastAsia="zh-CN" w:bidi="ar"/>
              </w:rPr>
              <w:t>单价最高</w:t>
            </w:r>
            <w:r>
              <w:rPr>
                <w:rFonts w:hint="eastAsia" w:asciiTheme="minorEastAsia" w:hAnsiTheme="minorEastAsia" w:eastAsiaTheme="minorEastAsia" w:cstheme="minorEastAsia"/>
                <w:b/>
                <w:bCs/>
                <w:kern w:val="0"/>
                <w:sz w:val="21"/>
                <w:szCs w:val="21"/>
                <w:lang w:bidi="ar"/>
              </w:rPr>
              <w:t>限价（元）</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C7BC77E">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备注</w:t>
            </w:r>
          </w:p>
        </w:tc>
      </w:tr>
      <w:tr w14:paraId="2B79BD32">
        <w:tblPrEx>
          <w:tblCellMar>
            <w:top w:w="0" w:type="dxa"/>
            <w:left w:w="108" w:type="dxa"/>
            <w:bottom w:w="0" w:type="dxa"/>
            <w:right w:w="108" w:type="dxa"/>
          </w:tblCellMar>
        </w:tblPrEx>
        <w:trPr>
          <w:trHeight w:val="824" w:hRule="atLeast"/>
          <w:jc w:val="center"/>
        </w:trPr>
        <w:tc>
          <w:tcPr>
            <w:tcW w:w="1062" w:type="dxa"/>
            <w:tcBorders>
              <w:top w:val="single" w:color="auto" w:sz="4" w:space="0"/>
              <w:left w:val="single" w:color="auto" w:sz="4" w:space="0"/>
              <w:bottom w:val="single" w:color="auto" w:sz="4" w:space="0"/>
              <w:right w:val="single" w:color="auto" w:sz="4" w:space="0"/>
            </w:tcBorders>
            <w:noWrap/>
            <w:vAlign w:val="center"/>
          </w:tcPr>
          <w:p w14:paraId="50F316C5">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14" w:type="dxa"/>
            <w:tcBorders>
              <w:top w:val="single" w:color="auto" w:sz="4" w:space="0"/>
              <w:left w:val="single" w:color="auto" w:sz="4" w:space="0"/>
              <w:bottom w:val="single" w:color="auto" w:sz="4" w:space="0"/>
              <w:right w:val="single" w:color="auto" w:sz="4" w:space="0"/>
            </w:tcBorders>
            <w:noWrap/>
            <w:vAlign w:val="center"/>
          </w:tcPr>
          <w:p w14:paraId="2B8B9DE5">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一次性视频喉镜片</w:t>
            </w:r>
          </w:p>
        </w:tc>
        <w:tc>
          <w:tcPr>
            <w:tcW w:w="2010" w:type="dxa"/>
            <w:tcBorders>
              <w:top w:val="single" w:color="auto" w:sz="4" w:space="0"/>
              <w:left w:val="single" w:color="auto" w:sz="4" w:space="0"/>
              <w:bottom w:val="single" w:color="auto" w:sz="4" w:space="0"/>
              <w:right w:val="single" w:color="000000" w:sz="4" w:space="0"/>
            </w:tcBorders>
            <w:noWrap/>
            <w:vAlign w:val="center"/>
          </w:tcPr>
          <w:p w14:paraId="65619465">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配套宏济VL3D麻醉视频喉镜使用</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6408004">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984D95A">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BCECE22">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22元/片</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CA87C22">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p>
        </w:tc>
      </w:tr>
      <w:tr w14:paraId="572FD66A">
        <w:tblPrEx>
          <w:tblCellMar>
            <w:top w:w="0" w:type="dxa"/>
            <w:left w:w="108" w:type="dxa"/>
            <w:bottom w:w="0" w:type="dxa"/>
            <w:right w:w="108" w:type="dxa"/>
          </w:tblCellMar>
        </w:tblPrEx>
        <w:trPr>
          <w:trHeight w:val="747" w:hRule="atLeast"/>
          <w:jc w:val="center"/>
        </w:trPr>
        <w:tc>
          <w:tcPr>
            <w:tcW w:w="8870" w:type="dxa"/>
            <w:gridSpan w:val="7"/>
            <w:tcBorders>
              <w:top w:val="single" w:color="auto" w:sz="4" w:space="0"/>
              <w:left w:val="single" w:color="auto" w:sz="4" w:space="0"/>
              <w:bottom w:val="single" w:color="auto" w:sz="4" w:space="0"/>
              <w:right w:val="single" w:color="000000" w:sz="4" w:space="0"/>
            </w:tcBorders>
            <w:noWrap/>
            <w:vAlign w:val="center"/>
          </w:tcPr>
          <w:p w14:paraId="50493EC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说明：</w:t>
            </w:r>
          </w:p>
          <w:p w14:paraId="1DEB899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1、投标人的投标文件必须标明所投货物的品牌与参数，保证原厂正品供货；</w:t>
            </w:r>
          </w:p>
          <w:p w14:paraId="007C963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2、本项目三年预计采购量仅供投标人参考；</w:t>
            </w:r>
          </w:p>
          <w:p w14:paraId="40CCA9D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3、本项目一次性规划，分步实施，按实结算。本项目货物进入采购人医院SPD管理；</w:t>
            </w:r>
          </w:p>
          <w:p w14:paraId="2434E7A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4、投标人所投产品单价不得高于该产品单价限价，否则视为无效响应；</w:t>
            </w:r>
          </w:p>
          <w:p w14:paraId="2323237F">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5、供货期限内如遇国家、省医保带量采购等相关政策调整，按国家、省医保带量采购等相关政策执行；</w:t>
            </w:r>
          </w:p>
          <w:p w14:paraId="7F1DDF8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中标人供货价格计算方式如下：单价最高限价（单价）×中标费率=供货价格（单价）。如所投产品的安徽省医药集中采购中心平台限价低于该项目供货价格（单价），则按平台限价（单价）×中标费率=供货价格（单价）。供货价格（单价）结果保留两位小数。</w:t>
            </w:r>
          </w:p>
          <w:p w14:paraId="3B90584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lang w:val="en-US" w:eastAsia="zh-CN"/>
              </w:rPr>
            </w:pPr>
            <w:r>
              <w:rPr>
                <w:rFonts w:hint="eastAsia" w:asciiTheme="minorEastAsia" w:hAnsiTheme="minorEastAsia" w:eastAsiaTheme="minorEastAsia" w:cstheme="minorEastAsia"/>
                <w:sz w:val="21"/>
                <w:szCs w:val="21"/>
                <w:lang w:val="en-US" w:eastAsia="zh-CN"/>
              </w:rPr>
              <w:t>7.所投产品如有两票制要求则须执行两票制相关要求；所投产品如安徽省医药集中采购中心有相关要求，则须执行安徽省医药集中采购中心相关要求。</w:t>
            </w:r>
          </w:p>
          <w:p w14:paraId="7C179AC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8、最高投标费率：100%。</w:t>
            </w:r>
          </w:p>
        </w:tc>
      </w:tr>
    </w:tbl>
    <w:p w14:paraId="08D5D3FD">
      <w:pPr>
        <w:pStyle w:val="7"/>
        <w:shd w:val="clear" w:color="auto" w:fill="FFFFFF"/>
        <w:spacing w:line="360" w:lineRule="auto"/>
        <w:ind w:left="0" w:leftChars="0" w:firstLine="0" w:firstLineChars="0"/>
        <w:jc w:val="left"/>
        <w:rPr>
          <w:rFonts w:hint="eastAsia" w:asciiTheme="minorEastAsia" w:hAnsiTheme="minorEastAsia" w:eastAsiaTheme="minorEastAsia" w:cstheme="minorEastAsia"/>
          <w:b/>
          <w:sz w:val="21"/>
          <w:szCs w:val="21"/>
        </w:rPr>
      </w:pPr>
    </w:p>
    <w:p w14:paraId="52B5B4C2">
      <w:pPr>
        <w:pStyle w:val="7"/>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二、质量要求</w:t>
      </w:r>
    </w:p>
    <w:p w14:paraId="1FE466B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2.保证投标产品的质量，其供货时剩余有效期时间不得少于有效期的2/3。</w:t>
      </w:r>
    </w:p>
    <w:p w14:paraId="3D1016C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3.保证是原产地生产的原装产品，否则视为假冒伪劣产品。</w:t>
      </w:r>
    </w:p>
    <w:p w14:paraId="2D46C1D0">
      <w:pPr>
        <w:pStyle w:val="7"/>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供货期</w:t>
      </w:r>
    </w:p>
    <w:p w14:paraId="0DFF4C11">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2"/>
          <w:sz w:val="21"/>
          <w:szCs w:val="21"/>
          <w:lang w:val="en-US" w:eastAsia="zh-CN" w:bidi="ar-SA"/>
        </w:rPr>
        <w:t>自合同执行日起三年或采购费用总额达到该项</w:t>
      </w:r>
      <w:r>
        <w:rPr>
          <w:rFonts w:hint="eastAsia" w:asciiTheme="minorEastAsia" w:hAnsiTheme="minorEastAsia" w:eastAsiaTheme="minorEastAsia" w:cstheme="minorEastAsia"/>
          <w:color w:val="auto"/>
          <w:kern w:val="2"/>
          <w:sz w:val="21"/>
          <w:szCs w:val="21"/>
          <w:lang w:val="en-US" w:eastAsia="zh-CN" w:bidi="ar-SA"/>
        </w:rPr>
        <w:t>目中标总价（预算金额×中标费率）时</w:t>
      </w:r>
      <w:r>
        <w:rPr>
          <w:rFonts w:hint="eastAsia" w:asciiTheme="minorEastAsia" w:hAnsiTheme="minorEastAsia" w:eastAsiaTheme="minorEastAsia" w:cstheme="minorEastAsia"/>
          <w:kern w:val="2"/>
          <w:sz w:val="21"/>
          <w:szCs w:val="21"/>
          <w:lang w:val="en-US" w:eastAsia="zh-CN" w:bidi="ar-SA"/>
        </w:rPr>
        <w:t>，两者以先到者为准，在供货期内按照采购人的要求分批供货，据实结算。</w:t>
      </w:r>
    </w:p>
    <w:p w14:paraId="2B44D8CF">
      <w:pPr>
        <w:pStyle w:val="7"/>
        <w:shd w:val="clear" w:color="auto" w:fill="FFFFFF"/>
        <w:spacing w:line="360" w:lineRule="auto"/>
        <w:jc w:val="left"/>
        <w:rPr>
          <w:rFonts w:hint="eastAsia" w:asciiTheme="minorEastAsia" w:hAnsiTheme="minorEastAsia" w:eastAsiaTheme="minorEastAsia" w:cstheme="minorEastAsia"/>
          <w:kern w:val="2"/>
          <w:sz w:val="21"/>
          <w:szCs w:val="21"/>
          <w:lang w:val="en-US" w:eastAsia="zh-CN" w:bidi="ar-SA"/>
        </w:rPr>
      </w:pPr>
    </w:p>
    <w:p w14:paraId="4633F105">
      <w:pPr>
        <w:pStyle w:val="7"/>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四、供货及售后要求</w:t>
      </w:r>
    </w:p>
    <w:p w14:paraId="51B21E56">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4.按采购人实际需求进行供货，中标人须无条件满足采购人需求，确保供货质量并及时供货。</w:t>
      </w:r>
    </w:p>
    <w:p w14:paraId="099613E6">
      <w:pPr>
        <w:pStyle w:val="7"/>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五、验收</w:t>
      </w:r>
    </w:p>
    <w:p w14:paraId="5D861BEB">
      <w:pPr>
        <w:spacing w:line="240" w:lineRule="auto"/>
        <w:ind w:firstLine="420" w:firstLineChars="200"/>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验收时采购人和中标人双方共同实施验收工作，验收合格后，结果和验收报告经双方确认后生效。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kern w:val="2"/>
          <w:sz w:val="21"/>
          <w:szCs w:val="21"/>
          <w:lang w:val="en-US" w:eastAsia="zh-CN" w:bidi="ar-SA"/>
        </w:rPr>
        <w:t>六、付款方式</w:t>
      </w:r>
    </w:p>
    <w:p w14:paraId="34096F5C">
      <w:pPr>
        <w:spacing w:line="360" w:lineRule="auto"/>
        <w:ind w:firstLine="420" w:firstLineChars="200"/>
      </w:pPr>
      <w:r>
        <w:rPr>
          <w:rFonts w:hint="eastAsia" w:asciiTheme="minorEastAsia" w:hAnsiTheme="minorEastAsia" w:eastAsiaTheme="minorEastAsia" w:cstheme="minorEastAsia"/>
          <w:sz w:val="21"/>
          <w:szCs w:val="21"/>
        </w:rPr>
        <w:t>本项目一次性规划，分步实施，按实结算，货到验收合格、收到正规发票后6个月内付款。</w:t>
      </w:r>
      <w:bookmarkEnd w:id="0"/>
      <w:bookmarkEnd w:id="1"/>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3"/>
      <w:pBdr>
        <w:top w:val="single" w:color="auto" w:sz="4" w:space="1"/>
      </w:pBd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14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大风起兮～</cp:lastModifiedBy>
  <dcterms:modified xsi:type="dcterms:W3CDTF">2025-08-08T02:15:56Z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eyJoZGlkIjoiZTVhNjI3MTkyMzg4OTUxMDlhMTZkNjM1NzI5NmMxZjkiLCJ1c2VySWQiOiI5MjI3MjA0MTMifQ==</vt:lpwstr>
  </property>
  <property fmtid="{D5CDD505-2E9C-101B-9397-08002B2CF9AE}" pid="4" name="ICV">
    <vt:lpwstr>3E041BE75ED14092B84C8E3CDAA5F7C7_12</vt:lpwstr>
  </property>
</Properties>
</file>