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48F20">
      <w:pPr>
        <w:spacing w:line="480" w:lineRule="exact"/>
        <w:jc w:val="center"/>
        <w:rPr>
          <w:rFonts w:ascii="宋体" w:cs="宋体"/>
          <w:b/>
          <w:bCs/>
          <w:snapToGrid w:val="0"/>
          <w:color w:val="auto"/>
          <w:kern w:val="0"/>
          <w:sz w:val="32"/>
          <w:szCs w:val="32"/>
          <w:highlight w:val="none"/>
        </w:rPr>
      </w:pPr>
      <w:r>
        <w:rPr>
          <w:rFonts w:hint="eastAsia" w:ascii="宋体" w:hAnsi="宋体" w:cs="宋体"/>
          <w:b/>
          <w:color w:val="auto"/>
          <w:kern w:val="2"/>
          <w:sz w:val="32"/>
          <w:szCs w:val="32"/>
          <w:highlight w:val="none"/>
          <w:lang w:val="zh-CN" w:eastAsia="zh-CN" w:bidi="ar-SA"/>
        </w:rPr>
        <w:t>采购需求</w:t>
      </w:r>
    </w:p>
    <w:p w14:paraId="72C8C3AC">
      <w:pPr>
        <w:widowControl/>
        <w:spacing w:line="500" w:lineRule="exact"/>
        <w:ind w:firstLine="482" w:firstLineChars="200"/>
        <w:jc w:val="left"/>
        <w:rPr>
          <w:rFonts w:hint="eastAsia" w:ascii="宋体" w:hAnsi="宋体" w:eastAsia="宋体" w:cs="宋体"/>
          <w:b/>
          <w:bCs/>
          <w:color w:val="auto"/>
          <w:sz w:val="24"/>
          <w:szCs w:val="24"/>
          <w:highlight w:val="none"/>
        </w:rPr>
      </w:pPr>
    </w:p>
    <w:p w14:paraId="2EAD05F4">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为鼓励不同品牌的充分竞争，如某产品的某技术参数或要求属于个别品牌专有，则该技术参数及要求不具有限制性，投标人可对该参数或要求进行适当调整，但这种调整整体上要优于或相当于采购文件的相关要求，并说明调整理由，且该调整须经评标委员会审核认可。</w:t>
      </w:r>
    </w:p>
    <w:p w14:paraId="6DC23D37">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1、在采购活动开始前没有获准采购进口产品而开展采购活动的，视同为拒绝采购进口产品。</w:t>
      </w:r>
    </w:p>
    <w:p w14:paraId="51D77AD3">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2、下列采购需求中标注进口产品的货物均已履行相关论证手续，经核准采购进口产品，但不限制满足采购文件要求的国内产品参与竞争。未标注进口产品的货物均为拒绝采购进口产品。</w:t>
      </w:r>
    </w:p>
    <w:p w14:paraId="4CD0326A">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color w:val="auto"/>
          <w:highlight w:val="none"/>
        </w:rPr>
      </w:pPr>
      <w:r>
        <w:rPr>
          <w:rFonts w:hint="eastAsia" w:ascii="宋体" w:hAnsi="宋体" w:eastAsia="宋体" w:cs="宋体"/>
          <w:b/>
          <w:bCs/>
          <w:color w:val="auto"/>
          <w:sz w:val="24"/>
          <w:szCs w:val="24"/>
          <w:highlight w:val="none"/>
        </w:rPr>
        <w:t>3、中标人提供的货物为进口产品的，供货时须向采购人提供所投进口产品的海关报关单等证明材料。</w:t>
      </w:r>
    </w:p>
    <w:p w14:paraId="19F5CF57">
      <w:pPr>
        <w:widowControl/>
        <w:numPr>
          <w:ilvl w:val="0"/>
          <w:numId w:val="1"/>
        </w:num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货物需求一览表</w:t>
      </w:r>
      <w:bookmarkStart w:id="0" w:name="_Hlk96158360"/>
      <w:bookmarkStart w:id="1" w:name="_Hlk106267351"/>
    </w:p>
    <w:tbl>
      <w:tblPr>
        <w:tblStyle w:val="3"/>
        <w:tblW w:w="5173" w:type="pct"/>
        <w:jc w:val="center"/>
        <w:tblLayout w:type="fixed"/>
        <w:tblCellMar>
          <w:top w:w="0" w:type="dxa"/>
          <w:left w:w="108" w:type="dxa"/>
          <w:bottom w:w="0" w:type="dxa"/>
          <w:right w:w="108" w:type="dxa"/>
        </w:tblCellMar>
      </w:tblPr>
      <w:tblGrid>
        <w:gridCol w:w="361"/>
        <w:gridCol w:w="785"/>
        <w:gridCol w:w="2960"/>
        <w:gridCol w:w="932"/>
        <w:gridCol w:w="725"/>
        <w:gridCol w:w="1199"/>
        <w:gridCol w:w="1302"/>
        <w:gridCol w:w="553"/>
      </w:tblGrid>
      <w:tr w14:paraId="36DFFE9C">
        <w:tblPrEx>
          <w:tblCellMar>
            <w:top w:w="0" w:type="dxa"/>
            <w:left w:w="108" w:type="dxa"/>
            <w:bottom w:w="0" w:type="dxa"/>
            <w:right w:w="108" w:type="dxa"/>
          </w:tblCellMar>
        </w:tblPrEx>
        <w:trPr>
          <w:trHeight w:val="652" w:hRule="atLeast"/>
          <w:jc w:val="center"/>
        </w:trPr>
        <w:tc>
          <w:tcPr>
            <w:tcW w:w="204" w:type="pct"/>
            <w:tcBorders>
              <w:top w:val="single" w:color="000000" w:sz="4" w:space="0"/>
              <w:left w:val="single" w:color="000000" w:sz="4" w:space="0"/>
              <w:bottom w:val="single" w:color="auto" w:sz="4" w:space="0"/>
              <w:right w:val="single" w:color="000000" w:sz="4" w:space="0"/>
            </w:tcBorders>
            <w:noWrap/>
            <w:vAlign w:val="center"/>
          </w:tcPr>
          <w:p w14:paraId="12D299A2">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序号</w:t>
            </w:r>
          </w:p>
        </w:tc>
        <w:tc>
          <w:tcPr>
            <w:tcW w:w="445" w:type="pct"/>
            <w:tcBorders>
              <w:top w:val="single" w:color="000000" w:sz="4" w:space="0"/>
              <w:left w:val="single" w:color="000000" w:sz="4" w:space="0"/>
              <w:bottom w:val="single" w:color="auto" w:sz="4" w:space="0"/>
              <w:right w:val="single" w:color="000000" w:sz="4" w:space="0"/>
            </w:tcBorders>
            <w:noWrap/>
            <w:vAlign w:val="center"/>
          </w:tcPr>
          <w:p w14:paraId="345CA369">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产品</w:t>
            </w:r>
            <w:r>
              <w:rPr>
                <w:rFonts w:hint="eastAsia" w:ascii="宋体" w:hAnsi="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bidi="ar"/>
              </w:rPr>
              <w:t>名称</w:t>
            </w:r>
          </w:p>
        </w:tc>
        <w:tc>
          <w:tcPr>
            <w:tcW w:w="1678" w:type="pct"/>
            <w:tcBorders>
              <w:top w:val="single" w:color="000000" w:sz="4" w:space="0"/>
              <w:left w:val="single" w:color="000000" w:sz="4" w:space="0"/>
              <w:bottom w:val="single" w:color="auto" w:sz="4" w:space="0"/>
              <w:right w:val="single" w:color="000000" w:sz="4" w:space="0"/>
            </w:tcBorders>
            <w:noWrap/>
            <w:vAlign w:val="center"/>
          </w:tcPr>
          <w:p w14:paraId="60F5B887">
            <w:pPr>
              <w:widowControl/>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eastAsia="zh-CN" w:bidi="ar"/>
              </w:rPr>
              <w:t>采购</w:t>
            </w:r>
            <w:r>
              <w:rPr>
                <w:rFonts w:hint="eastAsia" w:ascii="宋体" w:hAnsi="宋体" w:eastAsia="宋体" w:cs="宋体"/>
                <w:b/>
                <w:bCs/>
                <w:color w:val="auto"/>
                <w:kern w:val="0"/>
                <w:sz w:val="24"/>
                <w:szCs w:val="24"/>
                <w:highlight w:val="none"/>
                <w:lang w:bidi="ar"/>
              </w:rPr>
              <w:t>技术参数</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0271952C">
            <w:pPr>
              <w:widowControl/>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val="en-US" w:eastAsia="zh-CN" w:bidi="ar"/>
              </w:rPr>
              <w:t>规格</w:t>
            </w:r>
          </w:p>
        </w:tc>
        <w:tc>
          <w:tcPr>
            <w:tcW w:w="411" w:type="pct"/>
            <w:tcBorders>
              <w:top w:val="single" w:color="000000" w:sz="4" w:space="0"/>
              <w:left w:val="single" w:color="000000" w:sz="4" w:space="0"/>
              <w:bottom w:val="single" w:color="000000" w:sz="4" w:space="0"/>
              <w:right w:val="single" w:color="000000" w:sz="4" w:space="0"/>
            </w:tcBorders>
            <w:noWrap/>
            <w:vAlign w:val="center"/>
          </w:tcPr>
          <w:p w14:paraId="3DAE70D9">
            <w:pPr>
              <w:widowControl/>
              <w:jc w:val="center"/>
              <w:textAlignment w:val="center"/>
              <w:rPr>
                <w:rFonts w:hint="eastAsia" w:ascii="宋体" w:hAnsi="宋体" w:eastAsia="宋体" w:cs="宋体"/>
                <w:b/>
                <w:bCs/>
                <w:color w:val="auto"/>
                <w:kern w:val="0"/>
                <w:sz w:val="24"/>
                <w:szCs w:val="24"/>
                <w:highlight w:val="none"/>
                <w:lang w:eastAsia="zh-CN" w:bidi="ar"/>
              </w:rPr>
            </w:pPr>
            <w:r>
              <w:rPr>
                <w:rFonts w:hint="eastAsia" w:ascii="宋体" w:hAnsi="宋体" w:eastAsia="宋体" w:cs="宋体"/>
                <w:b/>
                <w:bCs/>
                <w:color w:val="auto"/>
                <w:kern w:val="0"/>
                <w:sz w:val="24"/>
                <w:szCs w:val="24"/>
                <w:highlight w:val="none"/>
                <w:lang w:eastAsia="zh-CN" w:bidi="ar"/>
              </w:rPr>
              <w:t>单位</w:t>
            </w:r>
          </w:p>
        </w:tc>
        <w:tc>
          <w:tcPr>
            <w:tcW w:w="680" w:type="pct"/>
            <w:tcBorders>
              <w:top w:val="single" w:color="000000" w:sz="4" w:space="0"/>
              <w:left w:val="single" w:color="000000" w:sz="4" w:space="0"/>
              <w:bottom w:val="single" w:color="000000" w:sz="4" w:space="0"/>
              <w:right w:val="single" w:color="000000" w:sz="4" w:space="0"/>
            </w:tcBorders>
            <w:noWrap/>
            <w:vAlign w:val="center"/>
          </w:tcPr>
          <w:p w14:paraId="631668BA">
            <w:pPr>
              <w:widowControl/>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bidi="ar"/>
              </w:rPr>
              <w:t>三年预估使用量</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28470">
            <w:pPr>
              <w:widowControl/>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最高</w:t>
            </w:r>
            <w:r>
              <w:rPr>
                <w:rFonts w:hint="eastAsia" w:ascii="宋体" w:hAnsi="宋体" w:eastAsia="宋体" w:cs="宋体"/>
                <w:b/>
                <w:bCs/>
                <w:color w:val="auto"/>
                <w:kern w:val="0"/>
                <w:sz w:val="24"/>
                <w:szCs w:val="24"/>
                <w:highlight w:val="none"/>
                <w:lang w:bidi="ar"/>
              </w:rPr>
              <w:t>限价</w:t>
            </w:r>
            <w:r>
              <w:rPr>
                <w:rFonts w:hint="eastAsia" w:ascii="宋体" w:hAnsi="宋体" w:eastAsia="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24"/>
                <w:szCs w:val="24"/>
                <w:highlight w:val="none"/>
                <w:lang w:eastAsia="zh-CN" w:bidi="ar"/>
              </w:rPr>
              <w:t>（</w:t>
            </w:r>
            <w:r>
              <w:rPr>
                <w:rFonts w:hint="eastAsia" w:ascii="宋体" w:hAnsi="宋体" w:eastAsia="宋体" w:cs="宋体"/>
                <w:b/>
                <w:bCs/>
                <w:color w:val="auto"/>
                <w:kern w:val="0"/>
                <w:sz w:val="24"/>
                <w:szCs w:val="24"/>
                <w:highlight w:val="none"/>
                <w:lang w:val="en-US" w:eastAsia="zh-CN" w:bidi="ar"/>
              </w:rPr>
              <w:t>单价</w:t>
            </w:r>
            <w:r>
              <w:rPr>
                <w:rFonts w:hint="eastAsia" w:ascii="宋体" w:hAnsi="宋体" w:eastAsia="宋体" w:cs="宋体"/>
                <w:b/>
                <w:bCs/>
                <w:color w:val="auto"/>
                <w:kern w:val="0"/>
                <w:sz w:val="24"/>
                <w:szCs w:val="24"/>
                <w:highlight w:val="none"/>
                <w:lang w:eastAsia="zh-CN" w:bidi="ar"/>
              </w:rPr>
              <w:t>）</w:t>
            </w:r>
          </w:p>
        </w:tc>
        <w:tc>
          <w:tcPr>
            <w:tcW w:w="313" w:type="pct"/>
            <w:tcBorders>
              <w:top w:val="single" w:color="000000" w:sz="4" w:space="0"/>
              <w:left w:val="single" w:color="000000" w:sz="4" w:space="0"/>
              <w:bottom w:val="single" w:color="000000" w:sz="4" w:space="0"/>
              <w:right w:val="single" w:color="000000" w:sz="4" w:space="0"/>
            </w:tcBorders>
            <w:noWrap/>
            <w:vAlign w:val="center"/>
          </w:tcPr>
          <w:p w14:paraId="77D04EFA">
            <w:pPr>
              <w:widowControl/>
              <w:jc w:val="center"/>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备注</w:t>
            </w:r>
          </w:p>
        </w:tc>
      </w:tr>
      <w:tr w14:paraId="522FA6FD">
        <w:tblPrEx>
          <w:tblCellMar>
            <w:top w:w="0" w:type="dxa"/>
            <w:left w:w="108" w:type="dxa"/>
            <w:bottom w:w="0" w:type="dxa"/>
            <w:right w:w="108" w:type="dxa"/>
          </w:tblCellMar>
        </w:tblPrEx>
        <w:trPr>
          <w:trHeight w:val="90" w:hRule="atLeast"/>
          <w:jc w:val="center"/>
        </w:trPr>
        <w:tc>
          <w:tcPr>
            <w:tcW w:w="204" w:type="pct"/>
            <w:tcBorders>
              <w:top w:val="single" w:color="auto" w:sz="4" w:space="0"/>
              <w:left w:val="single" w:color="auto" w:sz="4" w:space="0"/>
              <w:bottom w:val="single" w:color="auto" w:sz="4" w:space="0"/>
              <w:right w:val="single" w:color="auto" w:sz="4" w:space="0"/>
            </w:tcBorders>
            <w:noWrap/>
            <w:vAlign w:val="center"/>
          </w:tcPr>
          <w:p w14:paraId="7A16D25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45" w:type="pct"/>
            <w:tcBorders>
              <w:top w:val="single" w:color="auto" w:sz="4" w:space="0"/>
              <w:left w:val="single" w:color="auto" w:sz="4" w:space="0"/>
              <w:bottom w:val="single" w:color="auto" w:sz="4" w:space="0"/>
              <w:right w:val="single" w:color="auto" w:sz="4" w:space="0"/>
            </w:tcBorders>
            <w:noWrap/>
            <w:vAlign w:val="center"/>
          </w:tcPr>
          <w:p w14:paraId="58913C89">
            <w:pPr>
              <w:widowControl/>
              <w:spacing w:line="240" w:lineRule="auto"/>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一氧化氮检测器</w:t>
            </w:r>
          </w:p>
        </w:tc>
        <w:tc>
          <w:tcPr>
            <w:tcW w:w="1678" w:type="pct"/>
            <w:tcBorders>
              <w:top w:val="single" w:color="auto" w:sz="4" w:space="0"/>
              <w:left w:val="single" w:color="auto" w:sz="4" w:space="0"/>
              <w:bottom w:val="single" w:color="auto" w:sz="4" w:space="0"/>
              <w:right w:val="single" w:color="000000" w:sz="4" w:space="0"/>
            </w:tcBorders>
            <w:noWrap/>
            <w:vAlign w:val="center"/>
          </w:tcPr>
          <w:p w14:paraId="61FDDA30">
            <w:pPr>
              <w:numPr>
                <w:ilvl w:val="0"/>
                <w:numId w:val="0"/>
              </w:num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1、与无锡尚沃的呼气分析仪主机（型号：Sunvou-TM1100）配套使用                                                           </w:t>
            </w:r>
          </w:p>
          <w:p w14:paraId="3D2B135F">
            <w:pPr>
              <w:numPr>
                <w:ilvl w:val="0"/>
                <w:numId w:val="0"/>
              </w:num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2、检测浓度范围：0 - 3000 ppb</w:t>
            </w:r>
          </w:p>
          <w:p w14:paraId="44818F15">
            <w:pPr>
              <w:numPr>
                <w:ilvl w:val="0"/>
                <w:numId w:val="0"/>
              </w:num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3、检测下限：3 ppb</w:t>
            </w:r>
          </w:p>
          <w:p w14:paraId="1A0A32AF">
            <w:pPr>
              <w:numPr>
                <w:ilvl w:val="0"/>
                <w:numId w:val="0"/>
              </w:num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4、检测准确性：±3ppb或±10％，两者取较大值</w:t>
            </w:r>
          </w:p>
          <w:p w14:paraId="400CB774">
            <w:pPr>
              <w:numPr>
                <w:ilvl w:val="0"/>
                <w:numId w:val="0"/>
              </w:num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5、检测重复性：相对偏差CV≤10％。                               </w:t>
            </w:r>
          </w:p>
          <w:p w14:paraId="6AAEF528">
            <w:pPr>
              <w:numPr>
                <w:ilvl w:val="0"/>
                <w:numId w:val="0"/>
              </w:num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6、规格：每个检测器500人份     </w:t>
            </w:r>
          </w:p>
        </w:tc>
        <w:tc>
          <w:tcPr>
            <w:tcW w:w="528" w:type="pct"/>
            <w:tcBorders>
              <w:top w:val="single" w:color="000000" w:sz="4" w:space="0"/>
              <w:left w:val="single" w:color="000000" w:sz="4" w:space="0"/>
              <w:bottom w:val="single" w:color="auto" w:sz="4" w:space="0"/>
              <w:right w:val="single" w:color="000000" w:sz="4" w:space="0"/>
            </w:tcBorders>
            <w:noWrap/>
            <w:vAlign w:val="center"/>
          </w:tcPr>
          <w:p w14:paraId="460CF954">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500人份/个</w:t>
            </w:r>
          </w:p>
        </w:tc>
        <w:tc>
          <w:tcPr>
            <w:tcW w:w="411" w:type="pct"/>
            <w:tcBorders>
              <w:top w:val="single" w:color="000000" w:sz="4" w:space="0"/>
              <w:left w:val="single" w:color="000000" w:sz="4" w:space="0"/>
              <w:bottom w:val="single" w:color="auto" w:sz="4" w:space="0"/>
              <w:right w:val="single" w:color="000000" w:sz="4" w:space="0"/>
            </w:tcBorders>
            <w:noWrap/>
            <w:vAlign w:val="center"/>
          </w:tcPr>
          <w:p w14:paraId="108E4198">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个</w:t>
            </w:r>
          </w:p>
        </w:tc>
        <w:tc>
          <w:tcPr>
            <w:tcW w:w="680" w:type="pct"/>
            <w:tcBorders>
              <w:top w:val="single" w:color="000000" w:sz="4" w:space="0"/>
              <w:left w:val="single" w:color="000000" w:sz="4" w:space="0"/>
              <w:bottom w:val="single" w:color="auto" w:sz="4" w:space="0"/>
              <w:right w:val="single" w:color="000000" w:sz="4" w:space="0"/>
            </w:tcBorders>
            <w:noWrap/>
            <w:vAlign w:val="center"/>
          </w:tcPr>
          <w:p w14:paraId="631C2D74">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738" w:type="pct"/>
            <w:tcBorders>
              <w:top w:val="single" w:color="000000" w:sz="4" w:space="0"/>
              <w:left w:val="single" w:color="000000" w:sz="4" w:space="0"/>
              <w:bottom w:val="single" w:color="auto" w:sz="4" w:space="0"/>
              <w:right w:val="single" w:color="000000" w:sz="4" w:space="0"/>
            </w:tcBorders>
            <w:noWrap/>
            <w:vAlign w:val="center"/>
          </w:tcPr>
          <w:p w14:paraId="42C86C36">
            <w:pPr>
              <w:widowControl/>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40000元/个</w:t>
            </w:r>
          </w:p>
        </w:tc>
        <w:tc>
          <w:tcPr>
            <w:tcW w:w="313" w:type="pct"/>
            <w:tcBorders>
              <w:top w:val="single" w:color="000000" w:sz="4" w:space="0"/>
              <w:left w:val="single" w:color="000000" w:sz="4" w:space="0"/>
              <w:bottom w:val="single" w:color="auto" w:sz="4" w:space="0"/>
              <w:right w:val="single" w:color="000000" w:sz="4" w:space="0"/>
            </w:tcBorders>
            <w:noWrap/>
            <w:vAlign w:val="center"/>
          </w:tcPr>
          <w:p w14:paraId="0EB74805">
            <w:pPr>
              <w:widowControl/>
              <w:jc w:val="center"/>
              <w:textAlignment w:val="center"/>
              <w:rPr>
                <w:rFonts w:hint="eastAsia" w:ascii="宋体" w:hAnsi="宋体" w:eastAsia="宋体" w:cs="宋体"/>
                <w:color w:val="auto"/>
                <w:sz w:val="24"/>
                <w:szCs w:val="24"/>
                <w:highlight w:val="none"/>
                <w:lang w:val="en-US" w:eastAsia="zh-CN"/>
              </w:rPr>
            </w:pPr>
          </w:p>
        </w:tc>
      </w:tr>
      <w:tr w14:paraId="64883B0F">
        <w:tblPrEx>
          <w:tblCellMar>
            <w:top w:w="0" w:type="dxa"/>
            <w:left w:w="108" w:type="dxa"/>
            <w:bottom w:w="0" w:type="dxa"/>
            <w:right w:w="108" w:type="dxa"/>
          </w:tblCellMar>
        </w:tblPrEx>
        <w:trPr>
          <w:trHeight w:val="90" w:hRule="atLeast"/>
          <w:jc w:val="center"/>
        </w:trPr>
        <w:tc>
          <w:tcPr>
            <w:tcW w:w="5000" w:type="pct"/>
            <w:gridSpan w:val="8"/>
            <w:tcBorders>
              <w:top w:val="single" w:color="auto" w:sz="4" w:space="0"/>
              <w:left w:val="single" w:color="000000" w:sz="4" w:space="0"/>
              <w:bottom w:val="single" w:color="000000" w:sz="4" w:space="0"/>
              <w:right w:val="single" w:color="000000" w:sz="4" w:space="0"/>
            </w:tcBorders>
            <w:noWrap/>
            <w:vAlign w:val="center"/>
          </w:tcPr>
          <w:p w14:paraId="434F6CED">
            <w:pPr>
              <w:widowControl/>
              <w:spacing w:line="360" w:lineRule="auto"/>
              <w:ind w:left="630" w:hanging="720" w:hangingChars="300"/>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说明：</w:t>
            </w:r>
          </w:p>
          <w:p w14:paraId="324609E7">
            <w:pPr>
              <w:widowControl/>
              <w:numPr>
                <w:ilvl w:val="0"/>
                <w:numId w:val="2"/>
              </w:numPr>
              <w:spacing w:line="360" w:lineRule="auto"/>
              <w:ind w:firstLine="480" w:firstLineChars="200"/>
              <w:jc w:val="left"/>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投标人的投标文件必须标明所投货物的品牌与参数，保证原厂正品供货。</w:t>
            </w:r>
          </w:p>
          <w:p w14:paraId="68410551">
            <w:pPr>
              <w:widowControl/>
              <w:spacing w:line="360" w:lineRule="auto"/>
              <w:ind w:firstLine="480" w:firstLineChars="200"/>
              <w:jc w:val="left"/>
              <w:textAlignment w:val="center"/>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2</w:t>
            </w:r>
            <w:r>
              <w:rPr>
                <w:rFonts w:hint="eastAsia" w:ascii="宋体" w:hAnsi="宋体" w:cs="宋体"/>
                <w:b w:val="0"/>
                <w:bCs/>
                <w:color w:val="auto"/>
                <w:sz w:val="24"/>
                <w:szCs w:val="24"/>
                <w:highlight w:val="none"/>
                <w:lang w:eastAsia="zh-CN"/>
              </w:rPr>
              <w:t>.供货期：三年，预估使用量仅供投标人报价时参考，按实结算</w:t>
            </w:r>
            <w:r>
              <w:rPr>
                <w:rFonts w:hint="eastAsia" w:ascii="宋体" w:hAnsi="宋体" w:eastAsia="宋体" w:cs="宋体"/>
                <w:b w:val="0"/>
                <w:bCs/>
                <w:color w:val="auto"/>
                <w:sz w:val="24"/>
                <w:szCs w:val="24"/>
                <w:highlight w:val="none"/>
              </w:rPr>
              <w:t>；</w:t>
            </w:r>
          </w:p>
          <w:p w14:paraId="01237B5E">
            <w:pPr>
              <w:widowControl/>
              <w:spacing w:line="360" w:lineRule="auto"/>
              <w:ind w:firstLine="480" w:firstLineChars="200"/>
              <w:jc w:val="left"/>
              <w:textAlignment w:val="center"/>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本项目一次性规划，分步实施，按实结算。本项目进入采购人医院SPD管理（费率：1.4%）；</w:t>
            </w:r>
          </w:p>
          <w:p w14:paraId="416DE1BC">
            <w:pPr>
              <w:widowControl/>
              <w:spacing w:line="360" w:lineRule="auto"/>
              <w:ind w:firstLine="480" w:firstLineChars="200"/>
              <w:jc w:val="left"/>
              <w:textAlignment w:val="center"/>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供货期内如遇国家、省医保带量采购等相关政策调整，按国家、省医保带量采购等相关政策执行</w:t>
            </w:r>
            <w:r>
              <w:rPr>
                <w:rFonts w:hint="eastAsia" w:ascii="宋体" w:hAnsi="宋体" w:cs="宋体"/>
                <w:b w:val="0"/>
                <w:bCs/>
                <w:color w:val="auto"/>
                <w:sz w:val="24"/>
                <w:szCs w:val="24"/>
                <w:highlight w:val="none"/>
                <w:lang w:eastAsia="zh-CN"/>
              </w:rPr>
              <w:t xml:space="preserve">。 </w:t>
            </w:r>
          </w:p>
          <w:p w14:paraId="51C7D152">
            <w:pPr>
              <w:widowControl/>
              <w:spacing w:line="360" w:lineRule="auto"/>
              <w:ind w:firstLine="480" w:firstLineChars="200"/>
              <w:jc w:val="left"/>
              <w:textAlignment w:val="center"/>
              <w:rPr>
                <w:rFonts w:hint="eastAsia" w:ascii="宋体" w:hAnsi="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5</w:t>
            </w:r>
            <w:r>
              <w:rPr>
                <w:rFonts w:hint="eastAsia" w:ascii="宋体" w:hAnsi="宋体" w:cs="宋体"/>
                <w:b w:val="0"/>
                <w:bCs/>
                <w:color w:val="auto"/>
                <w:sz w:val="24"/>
                <w:szCs w:val="24"/>
                <w:highlight w:val="none"/>
                <w:lang w:eastAsia="zh-CN"/>
              </w:rPr>
              <w:t>.所投产品如有两票制要求则须执行两票制相关要求；所投产品如安徽省医药集中采购中心有相关要求，则须执行安徽省医药集中采购中心相关要求。</w:t>
            </w:r>
          </w:p>
          <w:p w14:paraId="5EFF8CE0">
            <w:pPr>
              <w:widowControl/>
              <w:spacing w:line="360" w:lineRule="auto"/>
              <w:ind w:firstLine="480" w:firstLineChars="200"/>
              <w:jc w:val="left"/>
              <w:textAlignment w:val="center"/>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6.</w:t>
            </w:r>
            <w:r>
              <w:rPr>
                <w:rFonts w:hint="eastAsia" w:ascii="宋体" w:hAnsi="宋体" w:cs="宋体"/>
                <w:b w:val="0"/>
                <w:bCs/>
                <w:color w:val="auto"/>
                <w:sz w:val="24"/>
                <w:szCs w:val="24"/>
                <w:highlight w:val="none"/>
                <w:lang w:eastAsia="zh-CN"/>
              </w:rPr>
              <w:t>中标人供货价格计算方式如下：最高限价（单价）×中标费率=供货价格（单价）。如所投产品的安徽省医药集中采购中心平台限价低于该项目供货价格（单价），则按平台限价（单价）×中标费率=供货价格（单价）。供货价格（单价）结果保留两位小数。</w:t>
            </w:r>
          </w:p>
          <w:p w14:paraId="1A9CEB48">
            <w:pPr>
              <w:widowControl/>
              <w:spacing w:line="360" w:lineRule="auto"/>
              <w:ind w:firstLine="480" w:firstLineChars="200"/>
              <w:jc w:val="left"/>
              <w:textAlignment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rPr>
              <w:t>.所有技术参数及要求采购人验收时将逐条核对，如发现与实际情况不符、虚假响应等，采购人有权报监管部门并追究违约责任。</w:t>
            </w:r>
          </w:p>
          <w:p w14:paraId="10FAF5BC">
            <w:pPr>
              <w:widowControl/>
              <w:spacing w:line="360" w:lineRule="auto"/>
              <w:ind w:firstLine="480" w:firstLineChars="200"/>
              <w:jc w:val="left"/>
              <w:textAlignment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val="en-US" w:eastAsia="zh-CN"/>
              </w:rPr>
              <w:t>.投</w:t>
            </w:r>
            <w:r>
              <w:rPr>
                <w:rFonts w:hint="eastAsia" w:ascii="宋体" w:hAnsi="宋体" w:eastAsia="宋体" w:cs="宋体"/>
                <w:bCs/>
                <w:color w:val="auto"/>
                <w:sz w:val="24"/>
                <w:szCs w:val="24"/>
                <w:highlight w:val="none"/>
              </w:rPr>
              <w:t>标人应按照采购文件要求提供证明材料。若投标提供了采购文件未要求的证明材料，评标委员会将不予评审。</w:t>
            </w:r>
          </w:p>
          <w:p w14:paraId="1FE5FBBA">
            <w:pPr>
              <w:widowControl/>
              <w:spacing w:line="360" w:lineRule="auto"/>
              <w:ind w:firstLine="480" w:firstLineChars="200"/>
              <w:jc w:val="left"/>
              <w:textAlignment w:val="center"/>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rPr>
              <w:t>.投标人提供的证明材料须清晰的反映评审内容，如因材料模糊不清，导致评标委员会无法辨认的，评标委员会可以不予认可，一切后果由投标人自行承担。</w:t>
            </w:r>
          </w:p>
          <w:p w14:paraId="766A4470">
            <w:pPr>
              <w:widowControl/>
              <w:spacing w:line="360" w:lineRule="auto"/>
              <w:ind w:firstLine="482" w:firstLineChars="200"/>
              <w:jc w:val="left"/>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w:t>
            </w:r>
            <w:r>
              <w:rPr>
                <w:rFonts w:hint="eastAsia" w:ascii="宋体" w:hAnsi="宋体" w:cs="宋体"/>
                <w:b/>
                <w:color w:val="auto"/>
                <w:sz w:val="24"/>
                <w:szCs w:val="24"/>
                <w:highlight w:val="none"/>
                <w:lang w:val="en-US" w:eastAsia="zh-CN"/>
              </w:rPr>
              <w:t>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本项目</w:t>
            </w:r>
            <w:r>
              <w:rPr>
                <w:rFonts w:hint="eastAsia" w:ascii="宋体" w:hAnsi="宋体" w:eastAsia="宋体" w:cs="宋体"/>
                <w:b/>
                <w:color w:val="auto"/>
                <w:sz w:val="24"/>
                <w:szCs w:val="24"/>
                <w:highlight w:val="none"/>
              </w:rPr>
              <w:t>最高投标费率：100%</w:t>
            </w:r>
            <w:r>
              <w:rPr>
                <w:rFonts w:hint="eastAsia" w:ascii="宋体" w:hAnsi="宋体" w:cs="宋体"/>
                <w:b/>
                <w:color w:val="auto"/>
                <w:sz w:val="24"/>
                <w:szCs w:val="24"/>
                <w:highlight w:val="none"/>
                <w:lang w:eastAsia="zh-CN"/>
              </w:rPr>
              <w:t>，报价</w:t>
            </w:r>
            <w:r>
              <w:rPr>
                <w:rFonts w:hint="eastAsia" w:ascii="宋体" w:hAnsi="宋体" w:cs="宋体"/>
                <w:b/>
                <w:color w:val="auto"/>
                <w:sz w:val="24"/>
                <w:szCs w:val="24"/>
                <w:highlight w:val="none"/>
                <w:lang w:val="en-US" w:eastAsia="zh-CN"/>
              </w:rPr>
              <w:t>费率</w:t>
            </w:r>
            <w:r>
              <w:rPr>
                <w:rFonts w:hint="eastAsia" w:ascii="宋体" w:hAnsi="宋体" w:cs="宋体"/>
                <w:b/>
                <w:color w:val="auto"/>
                <w:sz w:val="24"/>
                <w:szCs w:val="24"/>
                <w:highlight w:val="none"/>
                <w:lang w:eastAsia="zh-CN"/>
              </w:rPr>
              <w:t>高于</w:t>
            </w:r>
            <w:r>
              <w:rPr>
                <w:rFonts w:hint="eastAsia" w:ascii="宋体" w:hAnsi="宋体" w:cs="宋体"/>
                <w:b/>
                <w:color w:val="auto"/>
                <w:sz w:val="24"/>
                <w:szCs w:val="24"/>
                <w:highlight w:val="none"/>
                <w:lang w:val="en-US" w:eastAsia="zh-CN"/>
              </w:rPr>
              <w:t>最高投标费率</w:t>
            </w:r>
            <w:r>
              <w:rPr>
                <w:rFonts w:hint="eastAsia" w:ascii="宋体" w:hAnsi="宋体" w:cs="宋体"/>
                <w:b/>
                <w:color w:val="auto"/>
                <w:sz w:val="24"/>
                <w:szCs w:val="24"/>
                <w:highlight w:val="none"/>
                <w:lang w:eastAsia="zh-CN"/>
              </w:rPr>
              <w:t>为无效报价，按废标处理。</w:t>
            </w:r>
          </w:p>
        </w:tc>
      </w:tr>
      <w:bookmarkEnd w:id="0"/>
      <w:bookmarkEnd w:id="1"/>
    </w:tbl>
    <w:p w14:paraId="1B19FFA1">
      <w:pPr>
        <w:pStyle w:val="5"/>
        <w:shd w:val="clear" w:color="auto" w:fill="FFFFFF"/>
        <w:spacing w:line="360" w:lineRule="auto"/>
        <w:ind w:firstLine="0" w:firstLine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二、质量要求</w:t>
      </w:r>
    </w:p>
    <w:p w14:paraId="4F707A0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提供的货物必须是全新、标识清楚、符合国家规定的质量标准或行业现行标准的要求。没有国家标准和行业标准的，应达到经主管部门批准的企业现行标准要求，符合采购人采购文件和投标人投标文件所要求的技术标准。杜绝证照不全、假冒、伪劣、过期、失效、淘汰或不合格的产品进入医院，否则，投标人承担由此造成的一切后果。</w:t>
      </w:r>
    </w:p>
    <w:p w14:paraId="29068E1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2.保证投标产品的质量，其供货时剩余有效期时间不得少于有效期的2/3。</w:t>
      </w:r>
    </w:p>
    <w:p w14:paraId="7B86455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3.保证是原产地生产的原装产品，否则视为假冒伪劣产品。</w:t>
      </w:r>
    </w:p>
    <w:p w14:paraId="691E5EBC">
      <w:pPr>
        <w:pStyle w:val="5"/>
        <w:numPr>
          <w:ilvl w:val="0"/>
          <w:numId w:val="0"/>
        </w:numPr>
        <w:shd w:val="clear" w:color="auto" w:fill="FFFFFF"/>
        <w:spacing w:line="360" w:lineRule="auto"/>
        <w:ind w:leftChars="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三、</w:t>
      </w:r>
      <w:r>
        <w:rPr>
          <w:rFonts w:hint="eastAsia" w:ascii="宋体" w:hAnsi="宋体" w:eastAsia="宋体" w:cs="宋体"/>
          <w:b/>
          <w:color w:val="auto"/>
          <w:sz w:val="24"/>
          <w:szCs w:val="24"/>
          <w:highlight w:val="none"/>
        </w:rPr>
        <w:t>供货期</w:t>
      </w:r>
    </w:p>
    <w:p w14:paraId="4D254D8E">
      <w:pPr>
        <w:pStyle w:val="5"/>
        <w:shd w:val="clear" w:color="auto" w:fill="FFFFFF"/>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自合同执行日起三年或采购费用总额达到本项目总中标价（预算金额</w:t>
      </w:r>
      <w:r>
        <w:rPr>
          <w:rFonts w:hint="default" w:ascii="Arial" w:hAnsi="Arial" w:eastAsia="宋体" w:cs="Arial"/>
          <w:color w:val="auto"/>
          <w:sz w:val="24"/>
          <w:szCs w:val="24"/>
          <w:highlight w:val="none"/>
        </w:rPr>
        <w:t>×</w:t>
      </w:r>
      <w:r>
        <w:rPr>
          <w:rFonts w:hint="eastAsia" w:ascii="宋体" w:hAnsi="宋体" w:eastAsia="宋体" w:cs="宋体"/>
          <w:color w:val="auto"/>
          <w:sz w:val="24"/>
          <w:szCs w:val="24"/>
          <w:highlight w:val="none"/>
        </w:rPr>
        <w:t>中标费率）时，以先到者为准，在供货期内按照安庆市第一人民医院的要求分批供货，据实结算。</w:t>
      </w:r>
    </w:p>
    <w:p w14:paraId="2B1D12B5">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四、供货及售后要求</w:t>
      </w:r>
    </w:p>
    <w:p w14:paraId="1563869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1.中标人接到采购人供货通知，根据采购人通知的规格型号和数量按计划送货，按照采购人要求送至指定地点，负责运输。</w:t>
      </w:r>
    </w:p>
    <w:p w14:paraId="262F2AB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2.中标人根据采购人采购计划进行供货，不允许超计划供货，超出计划的数量，采购人不予验收入库，由中标人无条件带回。</w:t>
      </w:r>
    </w:p>
    <w:p w14:paraId="7A86A2D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3.中标人所投的品牌货物在供货或使用过程中出现质量和使用问题，采购人有权要求更换，直至采购人满意，且不再另行支付任何费用。</w:t>
      </w:r>
    </w:p>
    <w:p w14:paraId="1A2215A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4.按采购人实际需求进行供货，中标人须无条件满足采购人需求，确保供货质量并及时供货。</w:t>
      </w:r>
    </w:p>
    <w:p w14:paraId="28A68C8E">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五、验收</w:t>
      </w:r>
    </w:p>
    <w:p w14:paraId="1A70B5C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验收时采购人和中标人双方共同实施验收工作，验收合格后，结果和验收报告经双方确认后生效。</w:t>
      </w:r>
      <w:r>
        <w:rPr>
          <w:rFonts w:hint="eastAsia" w:ascii="宋体" w:hAnsi="宋体" w:eastAsia="宋体" w:cs="宋体"/>
          <w:color w:val="auto"/>
          <w:sz w:val="24"/>
          <w:szCs w:val="24"/>
          <w:highlight w:val="none"/>
        </w:rPr>
        <w:br w:type="textWrapping"/>
      </w:r>
      <w:r>
        <w:rPr>
          <w:rFonts w:hint="eastAsia" w:ascii="宋体" w:hAnsi="宋体" w:eastAsia="宋体" w:cs="宋体"/>
          <w:b/>
          <w:bCs/>
          <w:color w:val="auto"/>
          <w:sz w:val="24"/>
          <w:szCs w:val="24"/>
          <w:highlight w:val="none"/>
        </w:rPr>
        <w:t>六、付款方式</w:t>
      </w:r>
    </w:p>
    <w:p w14:paraId="6DC9714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合同签订后按甲方计划要求分批供货，按实结算，货到验收合格、收到正规发票后6个月内付款。</w:t>
      </w:r>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85DD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55CDBF">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255CDBF">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D418EB"/>
    <w:multiLevelType w:val="singleLevel"/>
    <w:tmpl w:val="96D418EB"/>
    <w:lvl w:ilvl="0" w:tentative="0">
      <w:start w:val="1"/>
      <w:numFmt w:val="decimal"/>
      <w:lvlText w:val="%1."/>
      <w:lvlJc w:val="left"/>
      <w:pPr>
        <w:tabs>
          <w:tab w:val="left" w:pos="312"/>
        </w:tabs>
      </w:pPr>
    </w:lvl>
  </w:abstractNum>
  <w:abstractNum w:abstractNumId="1">
    <w:nsid w:val="416CD41C"/>
    <w:multiLevelType w:val="singleLevel"/>
    <w:tmpl w:val="416CD41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E43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5">
    <w:name w:val="List Paragraph"/>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2025-09-22T08:34:27Z</dcterms:created>
  <dc:creator>Administrator</dc:creator>
  <cp:lastModifiedBy>w y l</cp:lastModifiedBy>
  <dcterms:modified xsi:type="dcterms:W3CDTF">2025-09-22T08:34:48Z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eyJoZGlkIjoiOGZjYWNmYjBhMjQ5N2ZkNTM4Yzg1NjM5OTkxM2EwYWQiLCJ1c2VySWQiOiIxMTQzOTYxMDcxIn0=</vt:lpwstr>
  </property>
  <property fmtid="{D5CDD505-2E9C-101B-9397-08002B2CF9AE}" pid="4" name="ICV">
    <vt:lpwstr>27983D0D4A9D48E78D59D72414C11D9D_12</vt:lpwstr>
  </property>
</Properties>
</file>