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rPr>
          <w:rFonts w:ascii="宋体" w:cs="宋体"/>
          <w:b/>
          <w:bCs/>
          <w:snapToGrid w:val="0"/>
          <w:color w:val="auto"/>
          <w:kern w:val="0"/>
          <w:sz w:val="32"/>
          <w:szCs w:val="32"/>
          <w:highlight w:val="none"/>
        </w:rPr>
      </w:pPr>
      <w:r>
        <w:rPr>
          <w:rFonts w:hint="eastAsia" w:ascii="宋体" w:hAnsi="宋体" w:eastAsia="宋体" w:cs="宋体"/>
          <w:b/>
          <w:color w:val="auto"/>
          <w:kern w:val="2"/>
          <w:sz w:val="32"/>
          <w:szCs w:val="32"/>
          <w:highlight w:val="none"/>
          <w:lang w:val="en-US" w:eastAsia="zh-CN" w:bidi="ar-SA"/>
        </w:rPr>
        <w:t xml:space="preserve"> </w:t>
      </w:r>
      <w:r>
        <w:rPr>
          <w:rFonts w:hint="eastAsia" w:ascii="宋体" w:hAnsi="宋体" w:cs="宋体"/>
          <w:b/>
          <w:color w:val="auto"/>
          <w:kern w:val="2"/>
          <w:sz w:val="32"/>
          <w:szCs w:val="32"/>
          <w:highlight w:val="none"/>
          <w:lang w:val="zh-CN" w:eastAsia="zh-CN" w:bidi="ar-SA"/>
        </w:rPr>
        <w:t>采购需求</w:t>
      </w:r>
    </w:p>
    <w:p w14:paraId="72C8C3AC">
      <w:pPr>
        <w:widowControl/>
        <w:spacing w:line="500" w:lineRule="exact"/>
        <w:ind w:firstLine="482" w:firstLineChars="200"/>
        <w:jc w:val="left"/>
        <w:rPr>
          <w:rFonts w:hint="eastAsia" w:ascii="宋体" w:hAnsi="宋体" w:eastAsia="宋体" w:cs="宋体"/>
          <w:b/>
          <w:bCs/>
          <w:color w:val="auto"/>
          <w:sz w:val="24"/>
          <w:szCs w:val="24"/>
          <w:highlight w:val="none"/>
        </w:rPr>
      </w:pPr>
    </w:p>
    <w:p w14:paraId="2EAD05F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鼓励不同品牌的充分竞争，如某产品的某技术参数或要求属于个别品牌专有，则该技术参数及要求不具有限制性，投标人可对该参数或要求进行适当调整，但这种调整整体上要优于或相当于采购文件的相关要求，并说明调整理由，且该调整须经评标委员会审核认可。</w:t>
      </w:r>
    </w:p>
    <w:p w14:paraId="6DC23D3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1、在采购活动开始前没有获准采购进口产品而开展采购活动的，视同为拒绝采购进口产品。</w:t>
      </w:r>
    </w:p>
    <w:p w14:paraId="51D77A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2、下列采购需求中标注进口产品的货物均已履行相关论证手续，经核准采购进口产品，但不限制满足采购文件要求的国内产品参与竞争。未标注进口产品的货物均为拒绝采购进口产品。</w:t>
      </w:r>
    </w:p>
    <w:p w14:paraId="6BE6930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3、中标人提供的货物为进口产品的，供货时须向采购人提供所投进口产品的海关报关单等证明材料。</w:t>
      </w:r>
    </w:p>
    <w:p w14:paraId="19F5CF57">
      <w:pPr>
        <w:widowControl/>
        <w:numPr>
          <w:ilvl w:val="0"/>
          <w:numId w:val="1"/>
        </w:num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货物需求一览表</w:t>
      </w:r>
      <w:bookmarkStart w:id="0" w:name="_Hlk106267351"/>
      <w:bookmarkStart w:id="1" w:name="_Hlk96158360"/>
    </w:p>
    <w:tbl>
      <w:tblPr>
        <w:tblStyle w:val="3"/>
        <w:tblW w:w="6037" w:type="pct"/>
        <w:jc w:val="center"/>
        <w:tblLayout w:type="fixed"/>
        <w:tblCellMar>
          <w:top w:w="0" w:type="dxa"/>
          <w:left w:w="108" w:type="dxa"/>
          <w:bottom w:w="0" w:type="dxa"/>
          <w:right w:w="108" w:type="dxa"/>
        </w:tblCellMar>
      </w:tblPr>
      <w:tblGrid>
        <w:gridCol w:w="570"/>
        <w:gridCol w:w="732"/>
        <w:gridCol w:w="3096"/>
        <w:gridCol w:w="900"/>
        <w:gridCol w:w="763"/>
        <w:gridCol w:w="762"/>
        <w:gridCol w:w="1013"/>
        <w:gridCol w:w="2454"/>
      </w:tblGrid>
      <w:tr w14:paraId="36DFFE9C">
        <w:tblPrEx>
          <w:tblCellMar>
            <w:top w:w="0" w:type="dxa"/>
            <w:left w:w="108" w:type="dxa"/>
            <w:bottom w:w="0" w:type="dxa"/>
            <w:right w:w="108" w:type="dxa"/>
          </w:tblCellMar>
        </w:tblPrEx>
        <w:trPr>
          <w:trHeight w:val="652" w:hRule="atLeast"/>
          <w:jc w:val="center"/>
        </w:trPr>
        <w:tc>
          <w:tcPr>
            <w:tcW w:w="276" w:type="pct"/>
            <w:tcBorders>
              <w:top w:val="single" w:color="000000" w:sz="4" w:space="0"/>
              <w:left w:val="single" w:color="000000" w:sz="4" w:space="0"/>
              <w:bottom w:val="single" w:color="auto" w:sz="4" w:space="0"/>
              <w:right w:val="single" w:color="000000" w:sz="4" w:space="0"/>
            </w:tcBorders>
            <w:noWrap/>
            <w:vAlign w:val="center"/>
          </w:tcPr>
          <w:p w14:paraId="12D299A2">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355" w:type="pct"/>
            <w:tcBorders>
              <w:top w:val="single" w:color="000000" w:sz="4" w:space="0"/>
              <w:left w:val="single" w:color="000000" w:sz="4" w:space="0"/>
              <w:bottom w:val="single" w:color="auto" w:sz="4" w:space="0"/>
              <w:right w:val="single" w:color="000000" w:sz="4" w:space="0"/>
            </w:tcBorders>
            <w:noWrap/>
            <w:vAlign w:val="center"/>
          </w:tcPr>
          <w:p w14:paraId="345CA369">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产品</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bidi="ar"/>
              </w:rPr>
              <w:t>名称</w:t>
            </w:r>
          </w:p>
        </w:tc>
        <w:tc>
          <w:tcPr>
            <w:tcW w:w="1504" w:type="pct"/>
            <w:tcBorders>
              <w:top w:val="single" w:color="000000" w:sz="4" w:space="0"/>
              <w:left w:val="single" w:color="000000" w:sz="4" w:space="0"/>
              <w:bottom w:val="single" w:color="auto" w:sz="4" w:space="0"/>
              <w:right w:val="single" w:color="000000" w:sz="4" w:space="0"/>
            </w:tcBorders>
            <w:noWrap/>
            <w:vAlign w:val="center"/>
          </w:tcPr>
          <w:p w14:paraId="60F5B887">
            <w:pPr>
              <w:widowControl/>
              <w:spacing w:line="360" w:lineRule="auto"/>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eastAsia="zh-CN" w:bidi="ar"/>
              </w:rPr>
              <w:t>采购</w:t>
            </w:r>
            <w:r>
              <w:rPr>
                <w:rFonts w:hint="eastAsia" w:ascii="宋体" w:hAnsi="宋体" w:eastAsia="宋体" w:cs="宋体"/>
                <w:b/>
                <w:bCs/>
                <w:color w:val="auto"/>
                <w:kern w:val="0"/>
                <w:sz w:val="24"/>
                <w:szCs w:val="24"/>
                <w:highlight w:val="none"/>
                <w:lang w:bidi="ar"/>
              </w:rPr>
              <w:t>技术参数</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271952C">
            <w:pPr>
              <w:widowControl/>
              <w:jc w:val="center"/>
              <w:textAlignment w:val="center"/>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
              </w:rPr>
              <w:t>规格</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DAE70D9">
            <w:pPr>
              <w:widowControl/>
              <w:jc w:val="center"/>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cs="宋体"/>
                <w:b/>
                <w:bCs/>
                <w:color w:val="auto"/>
                <w:kern w:val="0"/>
                <w:sz w:val="24"/>
                <w:szCs w:val="24"/>
                <w:highlight w:val="none"/>
                <w:lang w:eastAsia="zh-CN" w:bidi="ar"/>
              </w:rPr>
              <w:t>单位</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631668BA">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Cs w:val="21"/>
                <w:highlight w:val="none"/>
                <w:lang w:val="en-US" w:eastAsia="zh-CN" w:bidi="ar"/>
              </w:rPr>
              <w:t>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47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最高</w:t>
            </w:r>
            <w:r>
              <w:rPr>
                <w:rFonts w:hint="eastAsia" w:ascii="宋体" w:hAnsi="宋体" w:eastAsia="宋体" w:cs="宋体"/>
                <w:b/>
                <w:bCs/>
                <w:color w:val="auto"/>
                <w:kern w:val="0"/>
                <w:sz w:val="24"/>
                <w:szCs w:val="24"/>
                <w:highlight w:val="none"/>
                <w:lang w:bidi="ar"/>
              </w:rPr>
              <w:t>限价</w:t>
            </w: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单价</w:t>
            </w:r>
            <w:r>
              <w:rPr>
                <w:rFonts w:hint="eastAsia" w:ascii="宋体" w:hAnsi="宋体" w:eastAsia="宋体" w:cs="宋体"/>
                <w:b/>
                <w:bCs/>
                <w:color w:val="auto"/>
                <w:kern w:val="0"/>
                <w:sz w:val="24"/>
                <w:szCs w:val="24"/>
                <w:highlight w:val="none"/>
                <w:lang w:eastAsia="zh-CN" w:bidi="ar"/>
              </w:rPr>
              <w:t>）</w:t>
            </w:r>
          </w:p>
        </w:tc>
        <w:tc>
          <w:tcPr>
            <w:tcW w:w="1192" w:type="pct"/>
            <w:tcBorders>
              <w:top w:val="single" w:color="000000" w:sz="4" w:space="0"/>
              <w:left w:val="single" w:color="000000" w:sz="4" w:space="0"/>
              <w:bottom w:val="single" w:color="000000" w:sz="4" w:space="0"/>
              <w:right w:val="single" w:color="000000" w:sz="4" w:space="0"/>
            </w:tcBorders>
            <w:noWrap/>
            <w:vAlign w:val="center"/>
          </w:tcPr>
          <w:p w14:paraId="77D04EFA">
            <w:pPr>
              <w:widowControl/>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样品实例</w:t>
            </w:r>
          </w:p>
        </w:tc>
      </w:tr>
      <w:tr w14:paraId="522FA6FD">
        <w:tblPrEx>
          <w:tblCellMar>
            <w:top w:w="0" w:type="dxa"/>
            <w:left w:w="108" w:type="dxa"/>
            <w:bottom w:w="0" w:type="dxa"/>
            <w:right w:w="108" w:type="dxa"/>
          </w:tblCellMar>
        </w:tblPrEx>
        <w:trPr>
          <w:trHeight w:val="4583" w:hRule="atLeast"/>
          <w:jc w:val="center"/>
        </w:trPr>
        <w:tc>
          <w:tcPr>
            <w:tcW w:w="276" w:type="pct"/>
            <w:tcBorders>
              <w:top w:val="single" w:color="auto" w:sz="4" w:space="0"/>
              <w:left w:val="single" w:color="auto" w:sz="4" w:space="0"/>
              <w:bottom w:val="single" w:color="auto" w:sz="4" w:space="0"/>
              <w:right w:val="single" w:color="auto" w:sz="4" w:space="0"/>
            </w:tcBorders>
            <w:noWrap/>
            <w:vAlign w:val="center"/>
          </w:tcPr>
          <w:p w14:paraId="7A16D25D">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55" w:type="pct"/>
            <w:tcBorders>
              <w:top w:val="single" w:color="auto" w:sz="4" w:space="0"/>
              <w:left w:val="single" w:color="auto" w:sz="4" w:space="0"/>
              <w:bottom w:val="single" w:color="auto" w:sz="4" w:space="0"/>
              <w:right w:val="single" w:color="auto" w:sz="4" w:space="0"/>
            </w:tcBorders>
            <w:noWrap/>
            <w:vAlign w:val="center"/>
          </w:tcPr>
          <w:p w14:paraId="58913C89">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床头柜</w:t>
            </w:r>
          </w:p>
        </w:tc>
        <w:tc>
          <w:tcPr>
            <w:tcW w:w="1504" w:type="pct"/>
            <w:tcBorders>
              <w:top w:val="single" w:color="auto" w:sz="4" w:space="0"/>
              <w:left w:val="single" w:color="auto" w:sz="4" w:space="0"/>
              <w:bottom w:val="single" w:color="auto" w:sz="4" w:space="0"/>
              <w:right w:val="single" w:color="000000" w:sz="4" w:space="0"/>
            </w:tcBorders>
            <w:noWrap/>
            <w:vAlign w:val="center"/>
          </w:tcPr>
          <w:p w14:paraId="08EE14C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1、尺寸：480×480×760mm ±10mm</w:t>
            </w:r>
          </w:p>
          <w:p w14:paraId="04388830">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2、床头柜整体由全新ABS材料注塑成型，外形美观大方（蓝色），坚固、耐退色、耐腐蚀、防潮防水、易清洁。</w:t>
            </w:r>
          </w:p>
          <w:p w14:paraId="16E269D7">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3、床头柜左右两侧均配有隐藏式毛巾架。</w:t>
            </w:r>
          </w:p>
          <w:p w14:paraId="377A71DE">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4、床头柜设有一抽、一储物柜、一可拉出式餐桌板。</w:t>
            </w:r>
          </w:p>
          <w:p w14:paraId="7864675F">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5、储物柜内设有一层隔板，可放热水瓶。</w:t>
            </w:r>
          </w:p>
          <w:p w14:paraId="58E13C84">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6、提供ABS原料CMA检测报告。</w:t>
            </w:r>
          </w:p>
        </w:tc>
        <w:tc>
          <w:tcPr>
            <w:tcW w:w="437" w:type="pct"/>
            <w:tcBorders>
              <w:top w:val="single" w:color="000000" w:sz="4" w:space="0"/>
              <w:left w:val="single" w:color="000000" w:sz="4" w:space="0"/>
              <w:bottom w:val="single" w:color="auto" w:sz="4" w:space="0"/>
              <w:right w:val="single" w:color="000000" w:sz="4" w:space="0"/>
            </w:tcBorders>
            <w:noWrap/>
            <w:vAlign w:val="center"/>
          </w:tcPr>
          <w:p w14:paraId="460CF954">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480×480×760mm ±10mm</w:t>
            </w:r>
          </w:p>
        </w:tc>
        <w:tc>
          <w:tcPr>
            <w:tcW w:w="370" w:type="pct"/>
            <w:tcBorders>
              <w:top w:val="single" w:color="000000" w:sz="4" w:space="0"/>
              <w:left w:val="single" w:color="000000" w:sz="4" w:space="0"/>
              <w:bottom w:val="single" w:color="auto" w:sz="4" w:space="0"/>
              <w:right w:val="single" w:color="000000" w:sz="4" w:space="0"/>
            </w:tcBorders>
            <w:noWrap/>
            <w:vAlign w:val="center"/>
          </w:tcPr>
          <w:p w14:paraId="108E4198">
            <w:pPr>
              <w:widowControl/>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370" w:type="pct"/>
            <w:tcBorders>
              <w:top w:val="single" w:color="000000" w:sz="4" w:space="0"/>
              <w:left w:val="single" w:color="000000" w:sz="4" w:space="0"/>
              <w:bottom w:val="single" w:color="auto" w:sz="4" w:space="0"/>
              <w:right w:val="single" w:color="000000" w:sz="4" w:space="0"/>
            </w:tcBorders>
            <w:noWrap/>
            <w:vAlign w:val="center"/>
          </w:tcPr>
          <w:p w14:paraId="631C2D7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w:t>
            </w:r>
          </w:p>
        </w:tc>
        <w:tc>
          <w:tcPr>
            <w:tcW w:w="492" w:type="pct"/>
            <w:tcBorders>
              <w:top w:val="single" w:color="000000" w:sz="4" w:space="0"/>
              <w:left w:val="single" w:color="000000" w:sz="4" w:space="0"/>
              <w:bottom w:val="single" w:color="auto" w:sz="4" w:space="0"/>
              <w:right w:val="single" w:color="000000" w:sz="4" w:space="0"/>
            </w:tcBorders>
            <w:noWrap/>
            <w:vAlign w:val="center"/>
          </w:tcPr>
          <w:p w14:paraId="42C86C36">
            <w:pPr>
              <w:widowControl/>
              <w:jc w:val="center"/>
              <w:textAlignment w:val="center"/>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480</w:t>
            </w:r>
          </w:p>
        </w:tc>
        <w:tc>
          <w:tcPr>
            <w:tcW w:w="1192" w:type="pct"/>
            <w:tcBorders>
              <w:top w:val="single" w:color="000000" w:sz="4" w:space="0"/>
              <w:left w:val="single" w:color="000000" w:sz="4" w:space="0"/>
              <w:bottom w:val="single" w:color="auto" w:sz="4" w:space="0"/>
              <w:right w:val="single" w:color="000000" w:sz="4" w:space="0"/>
            </w:tcBorders>
            <w:noWrap/>
            <w:vAlign w:val="center"/>
          </w:tcPr>
          <w:p w14:paraId="0EB74805">
            <w:pPr>
              <w:widowControl/>
              <w:jc w:val="center"/>
              <w:textAlignment w:val="center"/>
              <w:rPr>
                <w:rFonts w:hint="eastAsia" w:ascii="宋体" w:hAnsi="宋体" w:eastAsia="宋体" w:cs="宋体"/>
                <w:color w:val="auto"/>
                <w:sz w:val="24"/>
                <w:szCs w:val="24"/>
                <w:highlight w:val="none"/>
                <w:lang w:val="en-US" w:eastAsia="zh-CN"/>
              </w:rPr>
            </w:pPr>
            <w:bookmarkStart w:id="2" w:name="_GoBack"/>
            <w:r>
              <w:rPr>
                <w:rFonts w:hint="eastAsia" w:ascii="仿宋" w:hAnsi="仿宋" w:eastAsia="仿宋" w:cs="仿宋"/>
                <w:color w:val="auto"/>
                <w:sz w:val="48"/>
                <w:szCs w:val="48"/>
                <w:highlight w:val="none"/>
                <w:lang w:eastAsia="zh-CN"/>
              </w:rPr>
              <w:drawing>
                <wp:inline distT="0" distB="0" distL="114300" distR="114300">
                  <wp:extent cx="1503680" cy="2006600"/>
                  <wp:effectExtent l="0" t="0" r="1270" b="12700"/>
                  <wp:docPr id="1" name="图片 1" descr="490850dc51cfc84f5c912cdef61de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0850dc51cfc84f5c912cdef61de422"/>
                          <pic:cNvPicPr>
                            <a:picLocks noChangeAspect="1"/>
                          </pic:cNvPicPr>
                        </pic:nvPicPr>
                        <pic:blipFill>
                          <a:blip r:embed="rId5"/>
                          <a:stretch>
                            <a:fillRect/>
                          </a:stretch>
                        </pic:blipFill>
                        <pic:spPr>
                          <a:xfrm>
                            <a:off x="0" y="0"/>
                            <a:ext cx="1503680" cy="2006600"/>
                          </a:xfrm>
                          <a:prstGeom prst="rect">
                            <a:avLst/>
                          </a:prstGeom>
                        </pic:spPr>
                      </pic:pic>
                    </a:graphicData>
                  </a:graphic>
                </wp:inline>
              </w:drawing>
            </w:r>
            <w:bookmarkEnd w:id="2"/>
          </w:p>
        </w:tc>
      </w:tr>
      <w:tr w14:paraId="64883B0F">
        <w:tblPrEx>
          <w:tblCellMar>
            <w:top w:w="0" w:type="dxa"/>
            <w:left w:w="108" w:type="dxa"/>
            <w:bottom w:w="0" w:type="dxa"/>
            <w:right w:w="108" w:type="dxa"/>
          </w:tblCellMar>
        </w:tblPrEx>
        <w:trPr>
          <w:trHeight w:val="2461" w:hRule="atLeast"/>
          <w:jc w:val="center"/>
        </w:trPr>
        <w:tc>
          <w:tcPr>
            <w:tcW w:w="5000" w:type="pct"/>
            <w:gridSpan w:val="8"/>
            <w:tcBorders>
              <w:top w:val="single" w:color="auto" w:sz="4" w:space="0"/>
              <w:left w:val="single" w:color="000000" w:sz="4" w:space="0"/>
              <w:bottom w:val="single" w:color="000000" w:sz="4" w:space="0"/>
              <w:right w:val="single" w:color="000000" w:sz="4" w:space="0"/>
            </w:tcBorders>
            <w:noWrap/>
            <w:vAlign w:val="center"/>
          </w:tcPr>
          <w:p w14:paraId="434F6CED">
            <w:pPr>
              <w:widowControl/>
              <w:spacing w:line="360" w:lineRule="auto"/>
              <w:ind w:left="630" w:hanging="720" w:hangingChars="30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2A6750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default" w:eastAsia="宋体"/>
                <w:color w:val="auto"/>
                <w:highlight w:val="none"/>
                <w:lang w:val="en-US" w:eastAsia="zh-CN"/>
              </w:rPr>
            </w:pPr>
            <w:r>
              <w:rPr>
                <w:rFonts w:hint="default" w:eastAsia="宋体"/>
                <w:color w:val="auto"/>
                <w:highlight w:val="none"/>
                <w:lang w:val="en-US" w:eastAsia="zh-CN"/>
              </w:rPr>
              <w:t>1.需与采购人4号住院楼病房内现有床头柜的款式、颜色、材质完全一致。</w:t>
            </w:r>
            <w:r>
              <w:rPr>
                <w:rFonts w:hint="eastAsia"/>
                <w:color w:val="auto"/>
                <w:highlight w:val="none"/>
                <w:lang w:val="en-US" w:eastAsia="zh-CN"/>
              </w:rPr>
              <w:t>（现场自行查看）</w:t>
            </w:r>
          </w:p>
          <w:p w14:paraId="235A6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default" w:eastAsia="宋体"/>
                <w:color w:val="auto"/>
                <w:highlight w:val="none"/>
                <w:lang w:val="en-US" w:eastAsia="zh-CN"/>
              </w:rPr>
            </w:pPr>
            <w:r>
              <w:rPr>
                <w:rFonts w:hint="default" w:eastAsia="宋体"/>
                <w:color w:val="auto"/>
                <w:highlight w:val="none"/>
                <w:lang w:val="en-US" w:eastAsia="zh-CN"/>
              </w:rPr>
              <w:t>2.依据商品的保修条款及售后服务条款，提供原厂质保，质保期不得低于1年</w:t>
            </w:r>
            <w:r>
              <w:rPr>
                <w:rFonts w:hint="eastAsia"/>
                <w:color w:val="auto"/>
                <w:highlight w:val="none"/>
                <w:lang w:val="en-US" w:eastAsia="zh-CN"/>
              </w:rPr>
              <w:t>。</w:t>
            </w:r>
            <w:r>
              <w:rPr>
                <w:rFonts w:hint="default" w:eastAsia="宋体"/>
                <w:color w:val="auto"/>
                <w:highlight w:val="none"/>
                <w:lang w:val="en-US" w:eastAsia="zh-CN"/>
              </w:rPr>
              <w:t xml:space="preserve"> </w:t>
            </w:r>
          </w:p>
          <w:p w14:paraId="64C17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default" w:eastAsia="宋体"/>
                <w:color w:val="auto"/>
                <w:highlight w:val="none"/>
                <w:lang w:val="en-US" w:eastAsia="zh-CN"/>
              </w:rPr>
            </w:pPr>
            <w:r>
              <w:rPr>
                <w:rFonts w:hint="default" w:eastAsia="宋体"/>
                <w:color w:val="auto"/>
                <w:highlight w:val="none"/>
                <w:lang w:val="en-US" w:eastAsia="zh-CN"/>
              </w:rPr>
              <w:t>3.供货期和质保期内维修服务响应时间不能超过24小时。使用科室反映质量和服务问题应及时解决，因解决不及时造成投诉的，采购人有权要求中标单位立即整改。如因中标人服务、解决响应不及时引起不良后果的，采购人有权约谈、处罚甚至终止合同</w:t>
            </w:r>
            <w:r>
              <w:rPr>
                <w:rFonts w:hint="eastAsia"/>
                <w:color w:val="auto"/>
                <w:highlight w:val="none"/>
                <w:lang w:val="en-US" w:eastAsia="zh-CN"/>
              </w:rPr>
              <w:t>。</w:t>
            </w:r>
            <w:r>
              <w:rPr>
                <w:rFonts w:hint="default" w:eastAsia="宋体"/>
                <w:color w:val="auto"/>
                <w:highlight w:val="none"/>
                <w:lang w:val="en-US" w:eastAsia="zh-CN"/>
              </w:rPr>
              <w:t xml:space="preserve"> </w:t>
            </w:r>
          </w:p>
          <w:p w14:paraId="67851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default" w:eastAsia="宋体"/>
                <w:color w:val="auto"/>
                <w:highlight w:val="none"/>
                <w:lang w:val="en-US" w:eastAsia="zh-CN"/>
              </w:rPr>
            </w:pPr>
            <w:r>
              <w:rPr>
                <w:rFonts w:hint="default" w:eastAsia="宋体"/>
                <w:color w:val="auto"/>
                <w:highlight w:val="none"/>
                <w:lang w:val="en-US" w:eastAsia="zh-CN"/>
              </w:rPr>
              <w:t>4.货物质量：中标人提供的货物必须是全新、原装、合格正品，完全符合国家规定的质量标准。货物完好，配件齐全</w:t>
            </w:r>
            <w:r>
              <w:rPr>
                <w:rFonts w:hint="eastAsia"/>
                <w:color w:val="auto"/>
                <w:highlight w:val="none"/>
                <w:lang w:val="en-US" w:eastAsia="zh-CN"/>
              </w:rPr>
              <w:t>。</w:t>
            </w:r>
            <w:r>
              <w:rPr>
                <w:rFonts w:hint="default" w:eastAsia="宋体"/>
                <w:color w:val="auto"/>
                <w:highlight w:val="none"/>
                <w:lang w:val="en-US" w:eastAsia="zh-CN"/>
              </w:rPr>
              <w:t xml:space="preserve"> </w:t>
            </w:r>
          </w:p>
          <w:p w14:paraId="4A952C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default" w:eastAsia="宋体"/>
                <w:color w:val="auto"/>
                <w:highlight w:val="none"/>
                <w:lang w:val="en-US" w:eastAsia="zh-CN"/>
              </w:rPr>
            </w:pPr>
            <w:r>
              <w:rPr>
                <w:rFonts w:hint="default" w:eastAsia="宋体"/>
                <w:color w:val="auto"/>
                <w:highlight w:val="none"/>
                <w:lang w:val="en-US" w:eastAsia="zh-CN"/>
              </w:rPr>
              <w:t>5.货物需求表中数量为预计采购量，实际以采购人需求为准。采购人无法预计也无法保证中标人在供货期内所获得的业务量，中标人自负盈亏</w:t>
            </w:r>
            <w:r>
              <w:rPr>
                <w:rFonts w:hint="eastAsia"/>
                <w:color w:val="auto"/>
                <w:highlight w:val="none"/>
                <w:lang w:val="en-US" w:eastAsia="zh-CN"/>
              </w:rPr>
              <w:t>。</w:t>
            </w:r>
            <w:r>
              <w:rPr>
                <w:rFonts w:hint="default" w:eastAsia="宋体"/>
                <w:color w:val="auto"/>
                <w:highlight w:val="none"/>
                <w:lang w:val="en-US" w:eastAsia="zh-CN"/>
              </w:rPr>
              <w:t xml:space="preserve"> </w:t>
            </w:r>
          </w:p>
          <w:p w14:paraId="40B7CB94">
            <w:pPr>
              <w:widowControl/>
              <w:spacing w:line="360" w:lineRule="auto"/>
              <w:jc w:val="left"/>
              <w:textAlignment w:val="center"/>
              <w:rPr>
                <w:rFonts w:hint="eastAsia" w:ascii="宋体" w:hAnsi="宋体" w:cs="宋体"/>
                <w:b w:val="0"/>
                <w:bCs/>
                <w:color w:val="auto"/>
                <w:sz w:val="24"/>
                <w:szCs w:val="24"/>
                <w:highlight w:val="none"/>
                <w:lang w:val="en-US" w:eastAsia="zh-CN"/>
              </w:rPr>
            </w:pPr>
            <w:r>
              <w:rPr>
                <w:rFonts w:hint="eastAsia"/>
                <w:color w:val="auto"/>
                <w:highlight w:val="none"/>
                <w:lang w:val="en-US" w:eastAsia="zh-CN"/>
              </w:rPr>
              <w:t>6</w:t>
            </w:r>
            <w:r>
              <w:rPr>
                <w:rFonts w:hint="default" w:eastAsia="宋体"/>
                <w:color w:val="auto"/>
                <w:highlight w:val="none"/>
                <w:lang w:val="en-US" w:eastAsia="zh-CN"/>
              </w:rPr>
              <w:t>.中标人在供货期限内，应严格遵守安全法律法规，采取安全保障措施，保证人员安全。因中标人原因造成的人员伤亡和财产损失，均由中标人承担。</w:t>
            </w:r>
          </w:p>
          <w:p w14:paraId="1A9CEB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r>
              <w:rPr>
                <w:rFonts w:hint="eastAsia" w:ascii="Times New Roman" w:hAnsi="Times New Roman" w:eastAsia="宋体" w:cs="Times New Roman"/>
                <w:color w:val="auto"/>
                <w:highlight w:val="none"/>
                <w:lang w:val="en-US" w:eastAsia="zh-CN"/>
              </w:rPr>
              <w:t>.中标人供货价格计算方式如下：最高限价（单价）×中标费率=供货价格（单价）。如所投产品的安徽省医药集中采购中心平台限价低于该项目供货价格（单价），则按平台限价（单价）×中标费率=供货价格（单价）。供货价格（单价）结果保留两位小数。</w:t>
            </w:r>
          </w:p>
          <w:p w14:paraId="10FAF5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r>
              <w:rPr>
                <w:rFonts w:hint="eastAsia" w:ascii="Times New Roman" w:hAnsi="Times New Roman" w:eastAsia="宋体" w:cs="Times New Roman"/>
                <w:color w:val="auto"/>
                <w:highlight w:val="none"/>
                <w:lang w:val="en-US" w:eastAsia="zh-CN"/>
              </w:rPr>
              <w:t>.投标人应按照采购文件要求提供证明材料。若投标提供了采购文件未要求的证明材料，评标委员会将不予评审。</w:t>
            </w:r>
          </w:p>
          <w:p w14:paraId="1FE5F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r>
              <w:rPr>
                <w:rFonts w:hint="eastAsia" w:ascii="Times New Roman" w:hAnsi="Times New Roman" w:eastAsia="宋体" w:cs="Times New Roman"/>
                <w:color w:val="auto"/>
                <w:highlight w:val="none"/>
                <w:lang w:val="en-US" w:eastAsia="zh-CN"/>
              </w:rPr>
              <w:t>.投标人提供的证明材料须清晰的反映评审内容，如因材料模糊不清，导致评标委员会无法辨认的，评标委员会可以不予认可，一切后果由投标人自行承担。</w:t>
            </w:r>
          </w:p>
          <w:p w14:paraId="766A4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.本项目最高投标费率：100%，报价费率高于最高投标费率为无效报价，按废标处理。</w:t>
            </w:r>
          </w:p>
        </w:tc>
      </w:tr>
      <w:bookmarkEnd w:id="0"/>
      <w:bookmarkEnd w:id="1"/>
    </w:tbl>
    <w:p w14:paraId="1B19FFA1">
      <w:pPr>
        <w:pStyle w:val="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4F707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691E5EBC">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466D65C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采用分批次供货，按实结算方式。</w:t>
      </w:r>
    </w:p>
    <w:p w14:paraId="2B1D12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六、付款方式</w:t>
      </w:r>
    </w:p>
    <w:p w14:paraId="4B2F2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color w:val="auto"/>
          <w:sz w:val="24"/>
          <w:szCs w:val="24"/>
          <w:highlight w:val="none"/>
        </w:rPr>
        <w:t>合同签订后按甲方计划要求分批供货，按实结算，货到验收合格、收到正规发票后6 个月内付款。付款前，乙方必须提供正规发票，甲方再付款，否则导致不能付款的责任由乙方承担。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CDB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5CDB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CD41C"/>
    <w:multiLevelType w:val="singleLevel"/>
    <w:tmpl w:val="416CD4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57948"/>
    <w:rsid w:val="30BD6874"/>
    <w:rsid w:val="66FE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2025-09-23T00:55:03Z</dcterms:created>
  <dc:creator>lenovo</dc:creator>
  <cp:lastModifiedBy>李庆娟</cp:lastModifiedBy>
  <dcterms:modified xsi:type="dcterms:W3CDTF">2025-09-23T01:02:57Z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eyJoZGlkIjoiYmNkOTljZGEzMjAyNzM0MDUxYTMyNWM1NWI4MzU2ZjgiLCJ1c2VySWQiOiIyNDQ2Njc1MjYifQ==</vt:lpwstr>
  </property>
  <property fmtid="{D5CDD505-2E9C-101B-9397-08002B2CF9AE}" pid="4" name="ICV">
    <vt:lpwstr>C68DE2EFA66C4CC1B996FA7A53E197AB_12</vt:lpwstr>
  </property>
</Properties>
</file>