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F5B90">
      <w:pPr>
        <w:pStyle w:val="2"/>
        <w:spacing w:before="62" w:beforeLines="20" w:after="62" w:afterLines="20" w:line="360" w:lineRule="auto"/>
        <w:ind w:firstLine="0" w:firstLineChars="0"/>
        <w:jc w:val="center"/>
        <w:rPr>
          <w:rFonts w:hint="eastAsia" w:asciiTheme="majorEastAsia" w:hAnsiTheme="majorEastAsia" w:eastAsiaTheme="majorEastAsia" w:cstheme="majorEastAsia"/>
          <w:b/>
          <w:i w:val="0"/>
          <w:kern w:val="2"/>
          <w:sz w:val="32"/>
          <w:szCs w:val="32"/>
          <w:lang w:val="en-US" w:eastAsia="zh-CN" w:bidi="ar-SA"/>
        </w:rPr>
      </w:pPr>
      <w:bookmarkStart w:id="2" w:name="_GoBack"/>
      <w:r>
        <w:rPr>
          <w:rFonts w:hint="eastAsia" w:asciiTheme="majorEastAsia" w:hAnsiTheme="majorEastAsia" w:eastAsiaTheme="majorEastAsia" w:cstheme="majorEastAsia"/>
          <w:b/>
          <w:i w:val="0"/>
          <w:kern w:val="2"/>
          <w:sz w:val="32"/>
          <w:szCs w:val="32"/>
          <w:lang w:val="zh-CN" w:eastAsia="zh-CN" w:bidi="ar-SA"/>
        </w:rPr>
        <w:t>货物需求及参数要求</w:t>
      </w:r>
      <w:bookmarkEnd w:id="2"/>
    </w:p>
    <w:p w14:paraId="72FAFB8C">
      <w:pPr>
        <w:widowControl/>
        <w:spacing w:line="240" w:lineRule="auto"/>
        <w:ind w:firstLine="420" w:firstLineChars="200"/>
        <w:jc w:val="left"/>
        <w:rPr>
          <w:rFonts w:hint="eastAsia" w:ascii="宋体" w:hAnsi="宋体"/>
          <w:b w:val="0"/>
          <w:bCs w:val="0"/>
          <w:strike w:val="0"/>
          <w:dstrike w:val="0"/>
          <w:color w:val="auto"/>
          <w:sz w:val="21"/>
          <w:szCs w:val="21"/>
          <w:highlight w:val="none"/>
        </w:rPr>
      </w:pPr>
      <w:r>
        <w:rPr>
          <w:rFonts w:hint="eastAsia"/>
          <w:b w:val="0"/>
          <w:bCs w:val="0"/>
          <w:highlight w:val="none"/>
        </w:rPr>
        <w:t>为鼓励不同品牌的充分竞争，如某设备的某技术参数或要求属于个别品牌专有，则该技术参数及要求不具有限制性，投标人可对该参数或要求进行适当调整，但这种调整整体上要优于或相当于采购文件的相关要求，并说明调整理由，且该调整须经评委会审核认可。</w:t>
      </w:r>
    </w:p>
    <w:p w14:paraId="31EAE961">
      <w:pPr>
        <w:widowControl/>
        <w:spacing w:line="240" w:lineRule="auto"/>
        <w:ind w:firstLine="405"/>
        <w:jc w:val="left"/>
        <w:rPr>
          <w:rFonts w:ascii="宋体" w:hAnsi="宋体"/>
          <w:b w:val="0"/>
          <w:bCs w:val="0"/>
          <w:strike w:val="0"/>
          <w:dstrike w:val="0"/>
          <w:color w:val="auto"/>
          <w:sz w:val="21"/>
          <w:szCs w:val="21"/>
          <w:highlight w:val="none"/>
        </w:rPr>
      </w:pPr>
      <w:r>
        <w:rPr>
          <w:rFonts w:hint="eastAsia" w:ascii="宋体" w:hAnsi="宋体"/>
          <w:b w:val="0"/>
          <w:bCs w:val="0"/>
          <w:strike w:val="0"/>
          <w:dstrike w:val="0"/>
          <w:color w:val="auto"/>
          <w:sz w:val="21"/>
          <w:szCs w:val="21"/>
          <w:highlight w:val="none"/>
        </w:rPr>
        <w:t>1、在采购活动开始前没有获准采购进口产品而开展采购活动的，视同为拒绝采购进口产品。</w:t>
      </w:r>
    </w:p>
    <w:p w14:paraId="6F5E121D">
      <w:pPr>
        <w:widowControl/>
        <w:spacing w:line="240" w:lineRule="auto"/>
        <w:ind w:firstLine="405"/>
        <w:jc w:val="left"/>
        <w:rPr>
          <w:rFonts w:hint="eastAsia" w:ascii="宋体" w:hAnsi="宋体" w:eastAsia="宋体"/>
          <w:color w:val="auto"/>
          <w:sz w:val="24"/>
          <w:szCs w:val="18"/>
          <w:highlight w:val="none"/>
        </w:rPr>
      </w:pPr>
      <w:r>
        <w:rPr>
          <w:rFonts w:hint="eastAsia" w:ascii="宋体" w:hAnsi="宋体"/>
          <w:b w:val="0"/>
          <w:bCs w:val="0"/>
          <w:strike w:val="0"/>
          <w:dstrike w:val="0"/>
          <w:color w:val="auto"/>
          <w:sz w:val="21"/>
          <w:szCs w:val="21"/>
          <w:highlight w:val="none"/>
        </w:rPr>
        <w:t>2、下列采购需求中标注进口产品的货物均已履行相关论证手续，经核准采购进口产品，但不限制满足</w:t>
      </w:r>
      <w:r>
        <w:rPr>
          <w:rFonts w:hint="eastAsia" w:ascii="宋体" w:hAnsi="宋体"/>
          <w:b w:val="0"/>
          <w:bCs w:val="0"/>
          <w:strike w:val="0"/>
          <w:dstrike w:val="0"/>
          <w:color w:val="auto"/>
          <w:sz w:val="21"/>
          <w:szCs w:val="21"/>
          <w:highlight w:val="none"/>
          <w:lang w:val="en-US" w:eastAsia="zh-CN"/>
        </w:rPr>
        <w:t>采购</w:t>
      </w:r>
      <w:r>
        <w:rPr>
          <w:rFonts w:hint="eastAsia" w:ascii="宋体" w:hAnsi="宋体"/>
          <w:b w:val="0"/>
          <w:bCs w:val="0"/>
          <w:strike w:val="0"/>
          <w:dstrike w:val="0"/>
          <w:color w:val="auto"/>
          <w:sz w:val="21"/>
          <w:szCs w:val="21"/>
          <w:highlight w:val="none"/>
        </w:rPr>
        <w:t>文件要求的国内产品参与竞争。未标注进口产品的货物均为拒绝采购进口产品。</w:t>
      </w:r>
    </w:p>
    <w:p w14:paraId="4B1FB172">
      <w:pPr>
        <w:widowControl/>
        <w:numPr>
          <w:ilvl w:val="0"/>
          <w:numId w:val="0"/>
        </w:numPr>
        <w:spacing w:line="360" w:lineRule="auto"/>
        <w:ind w:firstLine="422" w:firstLineChars="200"/>
        <w:jc w:val="left"/>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bCs/>
          <w:sz w:val="21"/>
          <w:szCs w:val="21"/>
          <w:lang w:val="en-US" w:eastAsia="zh-CN"/>
        </w:rPr>
        <w:t>一、</w:t>
      </w:r>
      <w:r>
        <w:rPr>
          <w:rFonts w:hint="eastAsia" w:asciiTheme="minorEastAsia" w:hAnsiTheme="minorEastAsia" w:eastAsiaTheme="minorEastAsia" w:cstheme="minorEastAsia"/>
          <w:b/>
          <w:bCs/>
          <w:sz w:val="21"/>
          <w:szCs w:val="21"/>
        </w:rPr>
        <w:t>货物需求一览表</w:t>
      </w:r>
      <w:bookmarkStart w:id="0" w:name="_Hlk106267351"/>
      <w:bookmarkStart w:id="1" w:name="_Hlk96158360"/>
    </w:p>
    <w:tbl>
      <w:tblPr>
        <w:tblStyle w:val="5"/>
        <w:tblW w:w="9521" w:type="dxa"/>
        <w:jc w:val="center"/>
        <w:tblLayout w:type="fixed"/>
        <w:tblCellMar>
          <w:top w:w="0" w:type="dxa"/>
          <w:left w:w="108" w:type="dxa"/>
          <w:bottom w:w="0" w:type="dxa"/>
          <w:right w:w="108" w:type="dxa"/>
        </w:tblCellMar>
      </w:tblPr>
      <w:tblGrid>
        <w:gridCol w:w="486"/>
        <w:gridCol w:w="900"/>
        <w:gridCol w:w="3574"/>
        <w:gridCol w:w="1185"/>
        <w:gridCol w:w="614"/>
        <w:gridCol w:w="763"/>
        <w:gridCol w:w="1170"/>
        <w:gridCol w:w="829"/>
      </w:tblGrid>
      <w:tr w14:paraId="520A7A67">
        <w:tblPrEx>
          <w:tblCellMar>
            <w:top w:w="0" w:type="dxa"/>
            <w:left w:w="108" w:type="dxa"/>
            <w:bottom w:w="0" w:type="dxa"/>
            <w:right w:w="108" w:type="dxa"/>
          </w:tblCellMar>
        </w:tblPrEx>
        <w:trPr>
          <w:trHeight w:val="652" w:hRule="atLeast"/>
          <w:jc w:val="center"/>
        </w:trPr>
        <w:tc>
          <w:tcPr>
            <w:tcW w:w="486" w:type="dxa"/>
            <w:tcBorders>
              <w:top w:val="single" w:color="000000" w:sz="4" w:space="0"/>
              <w:left w:val="single" w:color="000000" w:sz="4" w:space="0"/>
              <w:bottom w:val="single" w:color="auto" w:sz="4" w:space="0"/>
              <w:right w:val="single" w:color="000000" w:sz="4" w:space="0"/>
            </w:tcBorders>
            <w:noWrap/>
            <w:vAlign w:val="center"/>
          </w:tcPr>
          <w:p w14:paraId="50F1521F">
            <w:pPr>
              <w:widowControl/>
              <w:spacing w:line="240" w:lineRule="auto"/>
              <w:jc w:val="center"/>
              <w:textAlignment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kern w:val="0"/>
                <w:sz w:val="21"/>
                <w:szCs w:val="21"/>
                <w:lang w:val="en-US" w:eastAsia="zh-CN" w:bidi="ar"/>
              </w:rPr>
              <w:t>序号</w:t>
            </w:r>
          </w:p>
        </w:tc>
        <w:tc>
          <w:tcPr>
            <w:tcW w:w="900" w:type="dxa"/>
            <w:tcBorders>
              <w:top w:val="single" w:color="000000" w:sz="4" w:space="0"/>
              <w:left w:val="single" w:color="000000" w:sz="4" w:space="0"/>
              <w:bottom w:val="single" w:color="auto" w:sz="4" w:space="0"/>
              <w:right w:val="single" w:color="000000" w:sz="4" w:space="0"/>
            </w:tcBorders>
            <w:noWrap/>
            <w:vAlign w:val="center"/>
          </w:tcPr>
          <w:p w14:paraId="29F7B3D8">
            <w:pPr>
              <w:widowControl/>
              <w:spacing w:line="240" w:lineRule="auto"/>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bidi="ar"/>
              </w:rPr>
              <w:t>名称</w:t>
            </w:r>
          </w:p>
        </w:tc>
        <w:tc>
          <w:tcPr>
            <w:tcW w:w="3574" w:type="dxa"/>
            <w:tcBorders>
              <w:top w:val="single" w:color="000000" w:sz="4" w:space="0"/>
              <w:left w:val="single" w:color="000000" w:sz="4" w:space="0"/>
              <w:bottom w:val="single" w:color="auto" w:sz="4" w:space="0"/>
              <w:right w:val="single" w:color="000000" w:sz="4" w:space="0"/>
            </w:tcBorders>
            <w:noWrap/>
            <w:vAlign w:val="center"/>
          </w:tcPr>
          <w:p w14:paraId="2A13CCF2">
            <w:pPr>
              <w:widowControl/>
              <w:spacing w:line="240" w:lineRule="auto"/>
              <w:jc w:val="center"/>
              <w:textAlignment w:val="center"/>
              <w:rPr>
                <w:rFonts w:hint="eastAsia" w:asciiTheme="minorEastAsia" w:hAnsiTheme="minorEastAsia" w:eastAsiaTheme="minorEastAsia" w:cstheme="minorEastAsia"/>
                <w:b/>
                <w:bCs/>
                <w:kern w:val="0"/>
                <w:sz w:val="21"/>
                <w:szCs w:val="21"/>
                <w:lang w:bidi="ar"/>
              </w:rPr>
            </w:pPr>
            <w:r>
              <w:rPr>
                <w:rFonts w:hint="eastAsia" w:asciiTheme="minorEastAsia" w:hAnsiTheme="minorEastAsia" w:eastAsiaTheme="minorEastAsia" w:cstheme="minorEastAsia"/>
                <w:b/>
                <w:bCs/>
                <w:kern w:val="0"/>
                <w:sz w:val="21"/>
                <w:szCs w:val="21"/>
                <w:lang w:bidi="ar"/>
              </w:rPr>
              <w:t>技术参数</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5BCA3F40">
            <w:pPr>
              <w:widowControl/>
              <w:spacing w:line="240" w:lineRule="auto"/>
              <w:jc w:val="center"/>
              <w:textAlignment w:val="center"/>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规格</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3D50C3FC">
            <w:pPr>
              <w:widowControl/>
              <w:spacing w:line="240" w:lineRule="auto"/>
              <w:jc w:val="center"/>
              <w:textAlignment w:val="center"/>
              <w:rPr>
                <w:rFonts w:hint="eastAsia" w:asciiTheme="minorEastAsia" w:hAnsiTheme="minorEastAsia" w:eastAsiaTheme="minorEastAsia" w:cstheme="minorEastAsia"/>
                <w:b/>
                <w:bCs/>
                <w:kern w:val="0"/>
                <w:sz w:val="21"/>
                <w:szCs w:val="21"/>
                <w:lang w:bidi="ar"/>
              </w:rPr>
            </w:pPr>
            <w:r>
              <w:rPr>
                <w:rFonts w:hint="eastAsia" w:asciiTheme="minorEastAsia" w:hAnsiTheme="minorEastAsia" w:eastAsiaTheme="minorEastAsia" w:cstheme="minorEastAsia"/>
                <w:b/>
                <w:bCs/>
                <w:kern w:val="0"/>
                <w:sz w:val="21"/>
                <w:szCs w:val="21"/>
                <w:lang w:bidi="ar"/>
              </w:rPr>
              <w:t>单位</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7A86FBA">
            <w:pPr>
              <w:widowControl/>
              <w:spacing w:line="240" w:lineRule="auto"/>
              <w:jc w:val="center"/>
              <w:textAlignment w:val="center"/>
              <w:rPr>
                <w:rFonts w:hint="eastAsia" w:asciiTheme="minorEastAsia" w:hAnsiTheme="minorEastAsia" w:eastAsiaTheme="minorEastAsia" w:cstheme="minorEastAsia"/>
                <w:b/>
                <w:bCs/>
                <w:kern w:val="0"/>
                <w:sz w:val="21"/>
                <w:szCs w:val="21"/>
                <w:lang w:bidi="ar"/>
              </w:rPr>
            </w:pPr>
            <w:r>
              <w:rPr>
                <w:rFonts w:hint="eastAsia" w:asciiTheme="minorEastAsia" w:hAnsiTheme="minorEastAsia" w:eastAsiaTheme="minorEastAsia" w:cstheme="minorEastAsia"/>
                <w:b/>
                <w:bCs/>
                <w:kern w:val="0"/>
                <w:sz w:val="21"/>
                <w:szCs w:val="21"/>
                <w:lang w:bidi="ar"/>
              </w:rPr>
              <w:t>三年预估</w:t>
            </w:r>
          </w:p>
          <w:p w14:paraId="30F54E41">
            <w:pPr>
              <w:widowControl/>
              <w:spacing w:line="240" w:lineRule="auto"/>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bidi="ar"/>
              </w:rPr>
              <w:t>使用量</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11F812FB">
            <w:pPr>
              <w:widowControl/>
              <w:spacing w:line="240" w:lineRule="auto"/>
              <w:jc w:val="center"/>
              <w:textAlignment w:val="center"/>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bidi="ar"/>
              </w:rPr>
              <w:t>拟采购</w:t>
            </w:r>
            <w:r>
              <w:rPr>
                <w:rFonts w:hint="eastAsia" w:asciiTheme="minorEastAsia" w:hAnsiTheme="minorEastAsia" w:eastAsiaTheme="minorEastAsia" w:cstheme="minorEastAsia"/>
                <w:b/>
                <w:bCs/>
                <w:kern w:val="0"/>
                <w:sz w:val="21"/>
                <w:szCs w:val="21"/>
                <w:lang w:val="en-US" w:eastAsia="zh-CN" w:bidi="ar"/>
              </w:rPr>
              <w:t>单价最高</w:t>
            </w:r>
            <w:r>
              <w:rPr>
                <w:rFonts w:hint="eastAsia" w:asciiTheme="minorEastAsia" w:hAnsiTheme="minorEastAsia" w:eastAsiaTheme="minorEastAsia" w:cstheme="minorEastAsia"/>
                <w:b/>
                <w:bCs/>
                <w:kern w:val="0"/>
                <w:sz w:val="21"/>
                <w:szCs w:val="21"/>
                <w:lang w:bidi="ar"/>
              </w:rPr>
              <w:t>限价（元）</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C7BC77E">
            <w:pPr>
              <w:widowControl/>
              <w:spacing w:line="240" w:lineRule="auto"/>
              <w:jc w:val="center"/>
              <w:textAlignment w:val="center"/>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备注</w:t>
            </w:r>
          </w:p>
        </w:tc>
      </w:tr>
      <w:tr w14:paraId="2B79BD32">
        <w:tblPrEx>
          <w:tblCellMar>
            <w:top w:w="0" w:type="dxa"/>
            <w:left w:w="108" w:type="dxa"/>
            <w:bottom w:w="0" w:type="dxa"/>
            <w:right w:w="108" w:type="dxa"/>
          </w:tblCellMar>
        </w:tblPrEx>
        <w:trPr>
          <w:trHeight w:val="824" w:hRule="atLeast"/>
          <w:jc w:val="center"/>
        </w:trPr>
        <w:tc>
          <w:tcPr>
            <w:tcW w:w="486" w:type="dxa"/>
            <w:tcBorders>
              <w:top w:val="single" w:color="auto" w:sz="4" w:space="0"/>
              <w:left w:val="single" w:color="auto" w:sz="4" w:space="0"/>
              <w:bottom w:val="single" w:color="auto" w:sz="4" w:space="0"/>
              <w:right w:val="single" w:color="auto" w:sz="4" w:space="0"/>
            </w:tcBorders>
            <w:noWrap/>
            <w:vAlign w:val="center"/>
          </w:tcPr>
          <w:p w14:paraId="50F316C5">
            <w:pPr>
              <w:widowControl/>
              <w:spacing w:line="240" w:lineRule="auto"/>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900" w:type="dxa"/>
            <w:tcBorders>
              <w:top w:val="single" w:color="auto" w:sz="4" w:space="0"/>
              <w:left w:val="single" w:color="auto" w:sz="4" w:space="0"/>
              <w:bottom w:val="single" w:color="auto" w:sz="4" w:space="0"/>
              <w:right w:val="single" w:color="auto" w:sz="4" w:space="0"/>
            </w:tcBorders>
            <w:noWrap/>
            <w:vAlign w:val="center"/>
          </w:tcPr>
          <w:p w14:paraId="2B8B9DE5">
            <w:pPr>
              <w:widowControl/>
              <w:spacing w:line="240" w:lineRule="auto"/>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1"/>
                <w:szCs w:val="21"/>
                <w:u w:val="none"/>
                <w:lang w:val="en-US" w:eastAsia="zh-CN" w:bidi="ar"/>
              </w:rPr>
              <w:t>植入式静脉给药系统-针</w:t>
            </w:r>
          </w:p>
        </w:tc>
        <w:tc>
          <w:tcPr>
            <w:tcW w:w="3574" w:type="dxa"/>
            <w:tcBorders>
              <w:top w:val="single" w:color="auto" w:sz="4" w:space="0"/>
              <w:left w:val="single" w:color="auto" w:sz="4" w:space="0"/>
              <w:bottom w:val="single" w:color="auto" w:sz="4" w:space="0"/>
              <w:right w:val="single" w:color="000000" w:sz="4" w:space="0"/>
            </w:tcBorders>
            <w:noWrap/>
            <w:vAlign w:val="center"/>
          </w:tcPr>
          <w:p w14:paraId="277A6E0C">
            <w:pPr>
              <w:keepNext w:val="0"/>
              <w:keepLines w:val="0"/>
              <w:widowControl/>
              <w:suppressLineNumbers w:val="0"/>
              <w:jc w:val="left"/>
              <w:textAlignment w:val="center"/>
              <w:rPr>
                <w:rStyle w:val="7"/>
                <w:rFonts w:hint="eastAsia" w:ascii="宋体" w:hAnsi="宋体" w:eastAsia="宋体" w:cs="宋体"/>
                <w:sz w:val="21"/>
                <w:szCs w:val="21"/>
                <w:lang w:val="en-US" w:eastAsia="zh-CN" w:bidi="ar"/>
              </w:rPr>
            </w:pPr>
            <w:r>
              <w:rPr>
                <w:rStyle w:val="7"/>
                <w:rFonts w:hint="eastAsia" w:ascii="宋体" w:hAnsi="宋体" w:eastAsia="宋体" w:cs="宋体"/>
                <w:sz w:val="21"/>
                <w:szCs w:val="21"/>
                <w:lang w:val="en-US" w:eastAsia="zh-CN" w:bidi="ar"/>
              </w:rPr>
              <w:t>1.植入式给药装置专用，针头经过特殊处理，类似侧孔针，穿刺针座时不会“切削”硅胶隔膜，承受数千次的穿刺而不损伤隔膜导致漏液。不落屑，防止颗粒状物体渗入及输液港堵塞；</w:t>
            </w:r>
          </w:p>
          <w:p w14:paraId="5FCFCCDC">
            <w:pPr>
              <w:keepNext w:val="0"/>
              <w:keepLines w:val="0"/>
              <w:widowControl/>
              <w:suppressLineNumbers w:val="0"/>
              <w:jc w:val="left"/>
              <w:textAlignment w:val="center"/>
              <w:rPr>
                <w:rStyle w:val="7"/>
                <w:rFonts w:hint="eastAsia" w:ascii="宋体" w:hAnsi="宋体" w:eastAsia="宋体" w:cs="宋体"/>
                <w:sz w:val="21"/>
                <w:szCs w:val="21"/>
                <w:lang w:val="en-US" w:eastAsia="zh-CN" w:bidi="ar"/>
              </w:rPr>
            </w:pPr>
            <w:r>
              <w:rPr>
                <w:rStyle w:val="7"/>
                <w:rFonts w:hint="eastAsia" w:ascii="宋体" w:hAnsi="宋体" w:eastAsia="宋体" w:cs="宋体"/>
                <w:sz w:val="21"/>
                <w:szCs w:val="21"/>
                <w:lang w:val="en-US" w:eastAsia="zh-CN" w:bidi="ar"/>
              </w:rPr>
              <w:t>2.材质：TPU材质，不含DEHP，两侧固定蝶翼，材质柔软贴合皮肤，针尖弯折性好；</w:t>
            </w:r>
          </w:p>
          <w:p w14:paraId="41BDF3CD">
            <w:pPr>
              <w:keepNext w:val="0"/>
              <w:keepLines w:val="0"/>
              <w:widowControl/>
              <w:suppressLineNumbers w:val="0"/>
              <w:jc w:val="left"/>
              <w:textAlignment w:val="center"/>
              <w:rPr>
                <w:rStyle w:val="7"/>
                <w:rFonts w:hint="eastAsia" w:ascii="宋体" w:hAnsi="宋体" w:eastAsia="宋体" w:cs="宋体"/>
                <w:sz w:val="21"/>
                <w:szCs w:val="21"/>
                <w:lang w:val="en-US" w:eastAsia="zh-CN" w:bidi="ar"/>
              </w:rPr>
            </w:pPr>
            <w:r>
              <w:rPr>
                <w:rStyle w:val="7"/>
                <w:rFonts w:hint="eastAsia" w:ascii="宋体" w:hAnsi="宋体" w:eastAsia="宋体" w:cs="宋体"/>
                <w:sz w:val="21"/>
                <w:szCs w:val="21"/>
                <w:lang w:val="en-US" w:eastAsia="zh-CN" w:bidi="ar"/>
              </w:rPr>
              <w:t>3.延长管：单手夹（利于封管操作，减少回血）；</w:t>
            </w:r>
          </w:p>
          <w:p w14:paraId="7F11C57E">
            <w:pPr>
              <w:keepNext w:val="0"/>
              <w:keepLines w:val="0"/>
              <w:widowControl/>
              <w:suppressLineNumbers w:val="0"/>
              <w:jc w:val="left"/>
              <w:textAlignment w:val="center"/>
              <w:rPr>
                <w:rStyle w:val="7"/>
                <w:rFonts w:hint="eastAsia" w:ascii="宋体" w:hAnsi="宋体" w:eastAsia="宋体" w:cs="宋体"/>
                <w:sz w:val="21"/>
                <w:szCs w:val="21"/>
                <w:lang w:val="en-US" w:eastAsia="zh-CN" w:bidi="ar"/>
              </w:rPr>
            </w:pPr>
            <w:r>
              <w:rPr>
                <w:rStyle w:val="7"/>
                <w:rFonts w:hint="eastAsia" w:ascii="宋体" w:hAnsi="宋体" w:eastAsia="宋体" w:cs="宋体"/>
                <w:sz w:val="21"/>
                <w:szCs w:val="21"/>
                <w:lang w:val="en-US" w:eastAsia="zh-CN" w:bidi="ar"/>
              </w:rPr>
              <w:t>4.接头：直行通路（低剖面接头）；</w:t>
            </w:r>
          </w:p>
          <w:p w14:paraId="0BE966E9">
            <w:pPr>
              <w:keepNext w:val="0"/>
              <w:keepLines w:val="0"/>
              <w:widowControl/>
              <w:suppressLineNumbers w:val="0"/>
              <w:jc w:val="left"/>
              <w:textAlignment w:val="center"/>
              <w:rPr>
                <w:rStyle w:val="7"/>
                <w:rFonts w:hint="eastAsia" w:ascii="宋体" w:hAnsi="宋体" w:eastAsia="宋体" w:cs="宋体"/>
                <w:sz w:val="21"/>
                <w:szCs w:val="21"/>
                <w:lang w:val="en-US" w:eastAsia="zh-CN" w:bidi="ar"/>
              </w:rPr>
            </w:pPr>
            <w:r>
              <w:rPr>
                <w:rStyle w:val="7"/>
                <w:rFonts w:hint="eastAsia" w:ascii="宋体" w:hAnsi="宋体" w:eastAsia="宋体" w:cs="宋体"/>
                <w:sz w:val="21"/>
                <w:szCs w:val="21"/>
                <w:lang w:val="en-US" w:eastAsia="zh-CN" w:bidi="ar"/>
              </w:rPr>
              <w:t>5.产品为无菌独立包装，一次性使用；</w:t>
            </w:r>
          </w:p>
          <w:p w14:paraId="074EDC80">
            <w:pPr>
              <w:widowControl/>
              <w:spacing w:line="240" w:lineRule="auto"/>
              <w:jc w:val="left"/>
              <w:textAlignment w:val="center"/>
              <w:rPr>
                <w:rFonts w:hint="eastAsia" w:asciiTheme="minorEastAsia" w:hAnsiTheme="minorEastAsia" w:eastAsiaTheme="minorEastAsia" w:cstheme="minorEastAsia"/>
                <w:sz w:val="21"/>
                <w:szCs w:val="21"/>
              </w:rPr>
            </w:pPr>
            <w:r>
              <w:rPr>
                <w:rStyle w:val="7"/>
                <w:rFonts w:hint="eastAsia" w:ascii="宋体" w:hAnsi="宋体" w:eastAsia="宋体" w:cs="宋体"/>
                <w:sz w:val="21"/>
                <w:szCs w:val="21"/>
                <w:lang w:val="en-US" w:eastAsia="zh-CN" w:bidi="ar"/>
              </w:rPr>
              <w:t>6.型号：普通型、防针刺型、耐高压防针刺型。</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CE61835">
            <w:pPr>
              <w:widowControl/>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0.7*20mm、0.7*15mm、0.9*20mm</w:t>
            </w:r>
            <w:r>
              <w:rPr>
                <w:rFonts w:hint="eastAsia" w:ascii="宋体" w:hAnsi="宋体" w:cs="宋体"/>
                <w:i w:val="0"/>
                <w:iCs w:val="0"/>
                <w:color w:val="000000"/>
                <w:kern w:val="0"/>
                <w:sz w:val="21"/>
                <w:szCs w:val="21"/>
                <w:u w:val="none"/>
                <w:lang w:val="en-US" w:eastAsia="zh-CN" w:bidi="ar"/>
              </w:rPr>
              <w:t>、</w:t>
            </w:r>
          </w:p>
          <w:p w14:paraId="5CE7879E">
            <w:pPr>
              <w:widowControl/>
              <w:spacing w:line="240" w:lineRule="auto"/>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0.9*15mm等</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66408004">
            <w:pPr>
              <w:widowControl/>
              <w:spacing w:line="240" w:lineRule="auto"/>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984D95A">
            <w:pPr>
              <w:widowControl/>
              <w:spacing w:line="240" w:lineRule="auto"/>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1"/>
                <w:szCs w:val="21"/>
                <w:u w:val="none"/>
                <w:lang w:val="en-US" w:eastAsia="zh-CN" w:bidi="ar"/>
              </w:rPr>
              <w:t>3000</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3BCECE22">
            <w:pPr>
              <w:widowControl/>
              <w:spacing w:line="240" w:lineRule="auto"/>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35元/个</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CA87C22">
            <w:pPr>
              <w:widowControl/>
              <w:spacing w:line="240" w:lineRule="auto"/>
              <w:jc w:val="center"/>
              <w:textAlignment w:val="center"/>
              <w:rPr>
                <w:rFonts w:hint="eastAsia" w:asciiTheme="minorEastAsia" w:hAnsiTheme="minorEastAsia" w:eastAsiaTheme="minorEastAsia" w:cstheme="minorEastAsia"/>
                <w:sz w:val="21"/>
                <w:szCs w:val="21"/>
                <w:lang w:val="en-US" w:eastAsia="zh-CN"/>
              </w:rPr>
            </w:pPr>
          </w:p>
        </w:tc>
      </w:tr>
      <w:tr w14:paraId="572FD66A">
        <w:tblPrEx>
          <w:tblCellMar>
            <w:top w:w="0" w:type="dxa"/>
            <w:left w:w="108" w:type="dxa"/>
            <w:bottom w:w="0" w:type="dxa"/>
            <w:right w:w="108" w:type="dxa"/>
          </w:tblCellMar>
        </w:tblPrEx>
        <w:trPr>
          <w:trHeight w:val="747" w:hRule="atLeast"/>
          <w:jc w:val="center"/>
        </w:trPr>
        <w:tc>
          <w:tcPr>
            <w:tcW w:w="9521" w:type="dxa"/>
            <w:gridSpan w:val="8"/>
            <w:tcBorders>
              <w:top w:val="single" w:color="auto" w:sz="4" w:space="0"/>
              <w:left w:val="single" w:color="auto" w:sz="4" w:space="0"/>
              <w:bottom w:val="single" w:color="auto" w:sz="4" w:space="0"/>
              <w:right w:val="single" w:color="000000" w:sz="4" w:space="0"/>
            </w:tcBorders>
            <w:noWrap/>
            <w:vAlign w:val="center"/>
          </w:tcPr>
          <w:p w14:paraId="50493ECB">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说明：</w:t>
            </w:r>
          </w:p>
          <w:p w14:paraId="1DEB8997">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1、投标人的投标文件必须标明所投货物的品牌与参数，保证原厂正品供货；</w:t>
            </w:r>
          </w:p>
          <w:p w14:paraId="007C963E">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2、本项目三年预计采购量仅供投标人参考；</w:t>
            </w:r>
          </w:p>
          <w:p w14:paraId="40CCA9DC">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3、本项目一次性规划，分步实施，按实结算。本项目货物进入采购人医院SPD管理（费率1.4%）；</w:t>
            </w:r>
          </w:p>
          <w:p w14:paraId="2434E7A9">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4、投标人所投产品单价不得高于该产品单价限价，否则视为无效响应；</w:t>
            </w:r>
          </w:p>
          <w:p w14:paraId="2323237F">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5、供货期限内如遇国家、省医保带量采购等相关政策调整，按国家、省医保带量采购等相关政策执行；</w:t>
            </w:r>
          </w:p>
          <w:p w14:paraId="7F1DDF87">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中标人供货价格计算方式如下：单价最高限价（单价）×中标费率=供货价格（单价）。如所投产品的安徽省医药集中采购中心平台限价低于该项目供货价格（单价），则按平台限价（单价）×中标费率=供货价格（单价）。供货价格（单价）结果保留两位小数。</w:t>
            </w:r>
          </w:p>
          <w:p w14:paraId="3B905847">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7.所投产品如有两票制要求则须执行两票制相关要求；所投产品如安徽省医药集中采购中心有相关要求，则须执行安徽省医药集中采购中心相关要求。</w:t>
            </w:r>
          </w:p>
          <w:p w14:paraId="10FAF5BC">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8.投标人应按照采购文件要求提供证明材料。若投标提供了采购文件未要求的证明材料，评标委员会将不予评审。</w:t>
            </w:r>
          </w:p>
          <w:p w14:paraId="5C34639A">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9.投标人提供的证明材料须清晰的反映评审内容，如因材料模糊不清，导致评标委员会无法辨认的，评标委员会可以不予认可，一切后果由投标人自行承担。</w:t>
            </w:r>
          </w:p>
          <w:p w14:paraId="7C179ACE">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10、最高投标费率：100%。</w:t>
            </w:r>
          </w:p>
        </w:tc>
      </w:tr>
    </w:tbl>
    <w:p w14:paraId="08D5D3FD">
      <w:pPr>
        <w:pStyle w:val="8"/>
        <w:shd w:val="clear" w:color="auto" w:fill="FFFFFF"/>
        <w:spacing w:line="360" w:lineRule="auto"/>
        <w:ind w:left="0" w:leftChars="0" w:firstLine="0" w:firstLineChars="0"/>
        <w:jc w:val="left"/>
        <w:rPr>
          <w:rFonts w:hint="eastAsia" w:asciiTheme="minorEastAsia" w:hAnsiTheme="minorEastAsia" w:eastAsiaTheme="minorEastAsia" w:cstheme="minorEastAsia"/>
          <w:b/>
          <w:sz w:val="21"/>
          <w:szCs w:val="21"/>
        </w:rPr>
      </w:pPr>
    </w:p>
    <w:p w14:paraId="52B5B4C2">
      <w:pPr>
        <w:pStyle w:val="8"/>
        <w:shd w:val="clear" w:color="auto" w:fill="FFFFFF"/>
        <w:spacing w:line="360" w:lineRule="auto"/>
        <w:ind w:firstLine="422" w:firstLineChars="200"/>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二、质量要求</w:t>
      </w:r>
    </w:p>
    <w:p w14:paraId="1FE466B9">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人提供的货物必须是全新、标识清楚、符合国家规定的质量标准或行业现行标准的要求。没有国家标准和行业标准的，应达到经主管部门批准的企业现行标准要求，符合采购人采购文件和投标人投标文件所要求的技术标准。杜绝证照不全、假冒、伪劣、过期、失效、淘汰或不合格的产品进入医院，否则，投标人承担由此造成的一切后果。</w:t>
      </w:r>
    </w:p>
    <w:p w14:paraId="18457E6F">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2.保证投标产品的质量，其供货时剩余有效期时间不得少于有效期的2/3。</w:t>
      </w:r>
    </w:p>
    <w:p w14:paraId="3D1016C8">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3.保证是原产地生产的原装产品，否则视为假冒伪劣产品。</w:t>
      </w:r>
    </w:p>
    <w:p w14:paraId="2D46C1D0">
      <w:pPr>
        <w:pStyle w:val="8"/>
        <w:shd w:val="clear" w:color="auto" w:fill="FFFFFF"/>
        <w:spacing w:line="360" w:lineRule="auto"/>
        <w:ind w:firstLine="422" w:firstLineChars="200"/>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rPr>
        <w:t>三、</w:t>
      </w:r>
      <w:r>
        <w:rPr>
          <w:rFonts w:hint="eastAsia" w:asciiTheme="minorEastAsia" w:hAnsiTheme="minorEastAsia" w:eastAsiaTheme="minorEastAsia" w:cstheme="minorEastAsia"/>
          <w:b/>
          <w:sz w:val="21"/>
          <w:szCs w:val="21"/>
        </w:rPr>
        <w:t>供货期</w:t>
      </w:r>
    </w:p>
    <w:p w14:paraId="2B44D8CF">
      <w:pPr>
        <w:keepNext w:val="0"/>
        <w:keepLines w:val="0"/>
        <w:pageBreakBefore w:val="0"/>
        <w:kinsoku/>
        <w:wordWrap/>
        <w:overflowPunct/>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自合同执行日起三年或采购费用总额达到该项</w:t>
      </w:r>
      <w:r>
        <w:rPr>
          <w:rFonts w:hint="eastAsia" w:asciiTheme="minorEastAsia" w:hAnsiTheme="minorEastAsia" w:eastAsiaTheme="minorEastAsia" w:cstheme="minorEastAsia"/>
          <w:color w:val="auto"/>
          <w:kern w:val="2"/>
          <w:sz w:val="21"/>
          <w:szCs w:val="21"/>
          <w:lang w:val="en-US" w:eastAsia="zh-CN" w:bidi="ar-SA"/>
        </w:rPr>
        <w:t>目中标总价（预算金额×中标费率）时</w:t>
      </w:r>
      <w:r>
        <w:rPr>
          <w:rFonts w:hint="eastAsia" w:asciiTheme="minorEastAsia" w:hAnsiTheme="minorEastAsia" w:eastAsiaTheme="minorEastAsia" w:cstheme="minorEastAsia"/>
          <w:kern w:val="2"/>
          <w:sz w:val="21"/>
          <w:szCs w:val="21"/>
          <w:lang w:val="en-US" w:eastAsia="zh-CN" w:bidi="ar-SA"/>
        </w:rPr>
        <w:t>，两者以先到者为准，在供货期内按照采购人的要求分批供货，据实结算。</w:t>
      </w:r>
    </w:p>
    <w:p w14:paraId="4633F105">
      <w:pPr>
        <w:pStyle w:val="8"/>
        <w:shd w:val="clear" w:color="auto" w:fill="FFFFFF"/>
        <w:spacing w:line="360" w:lineRule="auto"/>
        <w:ind w:firstLine="422" w:firstLineChars="200"/>
        <w:jc w:val="left"/>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四、供货及售后要求</w:t>
      </w:r>
    </w:p>
    <w:p w14:paraId="51B21E56">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1.中标人接到采购人供货通知，根据采购人通知的规格型号和数量按计划送货，按照采购人要求送至指定地点，负责运输。</w:t>
      </w:r>
    </w:p>
    <w:p w14:paraId="3942BB0F">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2.中标人根据采购人采购计划进行供货，不允许超计划供货，超出计划的数量，采购人不予验收入库，由中标人无条件带回。</w:t>
      </w:r>
    </w:p>
    <w:p w14:paraId="500F04EA">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3.中标人所投的品牌货物在供货或使用过程中出现质量和使用问题，采购人有权要求更换，直至采购人满意，且不再另行支付任何费用。</w:t>
      </w:r>
    </w:p>
    <w:p w14:paraId="6B3C765F">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4.按采购人实际需求进行供货，中标人须无条件满足采购人需求，确保供货质量并及时供货。</w:t>
      </w:r>
    </w:p>
    <w:p w14:paraId="099613E6">
      <w:pPr>
        <w:pStyle w:val="8"/>
        <w:shd w:val="clear" w:color="auto" w:fill="FFFFFF"/>
        <w:spacing w:line="360" w:lineRule="auto"/>
        <w:ind w:firstLine="422" w:firstLineChars="200"/>
        <w:jc w:val="left"/>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五、验收</w:t>
      </w:r>
    </w:p>
    <w:p w14:paraId="5D861BEB">
      <w:pPr>
        <w:spacing w:line="240" w:lineRule="auto"/>
        <w:ind w:firstLine="420" w:firstLineChars="200"/>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sz w:val="21"/>
          <w:szCs w:val="21"/>
        </w:rPr>
        <w:t>验收时采购人和中标人双方共同实施验收工作，验收合格后，结果和验收报告经双方确认后生效。</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b/>
          <w:kern w:val="2"/>
          <w:sz w:val="21"/>
          <w:szCs w:val="21"/>
          <w:lang w:val="en-US" w:eastAsia="zh-CN" w:bidi="ar-SA"/>
        </w:rPr>
        <w:t>六、付款方式</w:t>
      </w:r>
    </w:p>
    <w:p w14:paraId="76F6A5CA">
      <w:pPr>
        <w:spacing w:line="360" w:lineRule="auto"/>
        <w:ind w:firstLine="420" w:firstLineChars="200"/>
      </w:pPr>
      <w:r>
        <w:rPr>
          <w:rFonts w:hint="eastAsia" w:asciiTheme="minorEastAsia" w:hAnsiTheme="minorEastAsia" w:eastAsiaTheme="minorEastAsia" w:cstheme="minorEastAsia"/>
          <w:sz w:val="21"/>
          <w:szCs w:val="21"/>
        </w:rPr>
        <w:t>本项目一次性规划，分步实施，按实结算，货到验收合格、收到正规发票后6个月内付款。</w:t>
      </w:r>
      <w:bookmarkEnd w:id="0"/>
      <w:bookmarkEnd w:id="1"/>
    </w:p>
    <w:sectPr>
      <w:footerReference r:id="rId3" w:type="default"/>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5DDD">
    <w:pPr>
      <w:pStyle w:val="3"/>
      <w:pBdr>
        <w:top w:val="single" w:color="auto" w:sz="4" w:space="1"/>
      </w:pBdr>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DF1E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21"/>
    <w:basedOn w:val="6"/>
    <w:qFormat/>
    <w:uiPriority w:val="0"/>
    <w:rPr>
      <w:rFonts w:hint="eastAsia" w:ascii="宋体" w:hAnsi="宋体" w:eastAsia="宋体" w:cs="宋体"/>
      <w:color w:val="000000"/>
      <w:sz w:val="18"/>
      <w:szCs w:val="18"/>
      <w:u w:val="none"/>
    </w:rPr>
  </w:style>
  <w:style w:type="paragraph" w:styleId="8">
    <w:name w:val="List Paragraph"/>
    <w:basedOn w:val="1"/>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mac</dc:creator>
  <cp:lastModifiedBy>大风起兮～</cp:lastModifiedBy>
  <dcterms:modified xsi:type="dcterms:W3CDTF">2025-09-22T09:39:55Z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eyJoZGlkIjoiZTVhNjI3MTkyMzg4OTUxMDlhMTZkNjM1NzI5NmMxZjkiLCJ1c2VySWQiOiI5MjI3MjA0MTMifQ==</vt:lpwstr>
  </property>
  <property fmtid="{D5CDD505-2E9C-101B-9397-08002B2CF9AE}" pid="4" name="ICV">
    <vt:lpwstr>8517E380C81D491FBD02338E1C600195_12</vt:lpwstr>
  </property>
</Properties>
</file>