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48F20">
      <w:pPr>
        <w:spacing w:line="480" w:lineRule="exact"/>
        <w:jc w:val="center"/>
        <w:outlineLvl w:val="0"/>
        <w:rPr>
          <w:rFonts w:ascii="宋体" w:cs="宋体"/>
          <w:b/>
          <w:bCs/>
          <w:snapToGrid w:val="0"/>
          <w:color w:val="auto"/>
          <w:kern w:val="0"/>
          <w:sz w:val="32"/>
          <w:szCs w:val="32"/>
          <w:highlight w:val="none"/>
        </w:rPr>
      </w:pPr>
      <w:r>
        <w:rPr>
          <w:rFonts w:hint="eastAsia" w:ascii="宋体" w:hAnsi="宋体" w:cs="宋体"/>
          <w:b/>
          <w:color w:val="auto"/>
          <w:kern w:val="2"/>
          <w:sz w:val="32"/>
          <w:szCs w:val="32"/>
          <w:highlight w:val="none"/>
          <w:lang w:val="zh-CN" w:eastAsia="zh-CN" w:bidi="ar-SA"/>
        </w:rPr>
        <w:t>采购需求</w:t>
      </w:r>
    </w:p>
    <w:p w14:paraId="72C8C3AC">
      <w:pPr>
        <w:widowControl/>
        <w:spacing w:line="500" w:lineRule="exact"/>
        <w:ind w:firstLine="482" w:firstLineChars="200"/>
        <w:jc w:val="left"/>
        <w:rPr>
          <w:rFonts w:hint="eastAsia" w:ascii="宋体" w:hAnsi="宋体" w:eastAsia="宋体" w:cs="宋体"/>
          <w:b/>
          <w:bCs/>
          <w:color w:val="auto"/>
          <w:sz w:val="24"/>
          <w:szCs w:val="24"/>
          <w:highlight w:val="none"/>
        </w:rPr>
      </w:pPr>
    </w:p>
    <w:p w14:paraId="72FAFB8C">
      <w:pPr>
        <w:widowControl/>
        <w:spacing w:line="360" w:lineRule="auto"/>
        <w:ind w:firstLine="480" w:firstLineChars="200"/>
        <w:jc w:val="left"/>
        <w:rPr>
          <w:rFonts w:hint="eastAsia" w:ascii="宋体" w:hAnsi="宋体"/>
          <w:b w:val="0"/>
          <w:bCs w:val="0"/>
          <w:strike w:val="0"/>
          <w:dstrike w:val="0"/>
          <w:color w:val="auto"/>
          <w:sz w:val="24"/>
          <w:szCs w:val="24"/>
          <w:highlight w:val="none"/>
        </w:rPr>
      </w:pPr>
      <w:r>
        <w:rPr>
          <w:rFonts w:hint="eastAsia"/>
          <w:b w:val="0"/>
          <w:bCs w:val="0"/>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采购文件的相关要求，并说明调整理由，且该调整须经评委会审核认可。</w:t>
      </w:r>
    </w:p>
    <w:p w14:paraId="31EAE961">
      <w:pPr>
        <w:widowControl/>
        <w:spacing w:line="360" w:lineRule="auto"/>
        <w:ind w:firstLine="405"/>
        <w:jc w:val="left"/>
        <w:rPr>
          <w:rFonts w:ascii="宋体" w:hAnsi="宋体"/>
          <w:b w:val="0"/>
          <w:bCs w:val="0"/>
          <w:strike w:val="0"/>
          <w:dstrike w:val="0"/>
          <w:color w:val="auto"/>
          <w:sz w:val="24"/>
          <w:szCs w:val="24"/>
          <w:highlight w:val="none"/>
        </w:rPr>
      </w:pPr>
      <w:r>
        <w:rPr>
          <w:rFonts w:hint="eastAsia" w:ascii="宋体" w:hAnsi="宋体"/>
          <w:b w:val="0"/>
          <w:bCs w:val="0"/>
          <w:strike w:val="0"/>
          <w:dstrike w:val="0"/>
          <w:color w:val="auto"/>
          <w:sz w:val="24"/>
          <w:szCs w:val="24"/>
          <w:highlight w:val="none"/>
        </w:rPr>
        <w:t>1、在采购活动开始前没有获准采购进口产品而开展采购活动的，视同为拒绝采购进口产品。</w:t>
      </w:r>
    </w:p>
    <w:p w14:paraId="6F5E121D">
      <w:pPr>
        <w:widowControl/>
        <w:spacing w:line="360" w:lineRule="auto"/>
        <w:ind w:firstLine="405"/>
        <w:jc w:val="left"/>
        <w:rPr>
          <w:rFonts w:hint="eastAsia" w:ascii="宋体" w:hAnsi="宋体"/>
          <w:b w:val="0"/>
          <w:bCs w:val="0"/>
          <w:strike w:val="0"/>
          <w:dstrike w:val="0"/>
          <w:color w:val="auto"/>
          <w:sz w:val="24"/>
          <w:szCs w:val="24"/>
          <w:highlight w:val="none"/>
        </w:rPr>
      </w:pPr>
      <w:r>
        <w:rPr>
          <w:rFonts w:hint="eastAsia" w:ascii="宋体" w:hAnsi="宋体"/>
          <w:b w:val="0"/>
          <w:bCs w:val="0"/>
          <w:strike w:val="0"/>
          <w:dstrike w:val="0"/>
          <w:color w:val="auto"/>
          <w:sz w:val="24"/>
          <w:szCs w:val="24"/>
          <w:highlight w:val="none"/>
        </w:rPr>
        <w:t>2、下列采购需求中标注进口产品的货物均已履行相关论证手续，经核准采购进口产品，但不限制满足</w:t>
      </w:r>
      <w:r>
        <w:rPr>
          <w:rFonts w:hint="eastAsia" w:ascii="宋体" w:hAnsi="宋体"/>
          <w:b w:val="0"/>
          <w:bCs w:val="0"/>
          <w:strike w:val="0"/>
          <w:dstrike w:val="0"/>
          <w:color w:val="auto"/>
          <w:sz w:val="24"/>
          <w:szCs w:val="24"/>
          <w:highlight w:val="none"/>
          <w:lang w:val="en-US" w:eastAsia="zh-CN"/>
        </w:rPr>
        <w:t>采购</w:t>
      </w:r>
      <w:r>
        <w:rPr>
          <w:rFonts w:hint="eastAsia" w:ascii="宋体" w:hAnsi="宋体"/>
          <w:b w:val="0"/>
          <w:bCs w:val="0"/>
          <w:strike w:val="0"/>
          <w:dstrike w:val="0"/>
          <w:color w:val="auto"/>
          <w:sz w:val="24"/>
          <w:szCs w:val="24"/>
          <w:highlight w:val="none"/>
        </w:rPr>
        <w:t>文件要求的国内产品参与竞争。未标注进口产品的货物均为拒绝采购进口产品。</w:t>
      </w:r>
    </w:p>
    <w:p w14:paraId="604C01CC">
      <w:pPr>
        <w:widowControl/>
        <w:spacing w:line="360" w:lineRule="auto"/>
        <w:ind w:firstLine="405"/>
        <w:jc w:val="left"/>
        <w:rPr>
          <w:rFonts w:hint="eastAsia" w:ascii="宋体" w:hAnsi="宋体"/>
          <w:b w:val="0"/>
          <w:bCs w:val="0"/>
          <w:strike w:val="0"/>
          <w:dstrike w:val="0"/>
          <w:color w:val="auto"/>
          <w:sz w:val="24"/>
          <w:szCs w:val="24"/>
          <w:highlight w:val="none"/>
        </w:rPr>
      </w:pPr>
      <w:r>
        <w:rPr>
          <w:rFonts w:hint="eastAsia" w:ascii="宋体" w:hAnsi="宋体"/>
          <w:b w:val="0"/>
          <w:bCs w:val="0"/>
          <w:strike w:val="0"/>
          <w:dstrike w:val="0"/>
          <w:color w:val="auto"/>
          <w:sz w:val="24"/>
          <w:szCs w:val="24"/>
          <w:highlight w:val="none"/>
        </w:rPr>
        <w:t>3、中标人提供的货物为进口产品的，供货时须向采购人提供所投进口产品的海关报关单等证明材料。</w:t>
      </w:r>
    </w:p>
    <w:p w14:paraId="4B1FB172">
      <w:pPr>
        <w:widowControl/>
        <w:numPr>
          <w:ilvl w:val="0"/>
          <w:numId w:val="0"/>
        </w:numPr>
        <w:spacing w:line="360" w:lineRule="auto"/>
        <w:ind w:firstLine="482"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一、货物需求一览表</w:t>
      </w:r>
    </w:p>
    <w:tbl>
      <w:tblPr>
        <w:tblStyle w:val="4"/>
        <w:tblW w:w="9706" w:type="dxa"/>
        <w:jc w:val="center"/>
        <w:tblLayout w:type="fixed"/>
        <w:tblCellMar>
          <w:top w:w="0" w:type="dxa"/>
          <w:left w:w="108" w:type="dxa"/>
          <w:bottom w:w="0" w:type="dxa"/>
          <w:right w:w="108" w:type="dxa"/>
        </w:tblCellMar>
      </w:tblPr>
      <w:tblGrid>
        <w:gridCol w:w="495"/>
        <w:gridCol w:w="1035"/>
        <w:gridCol w:w="3481"/>
        <w:gridCol w:w="1230"/>
        <w:gridCol w:w="510"/>
        <w:gridCol w:w="839"/>
        <w:gridCol w:w="1125"/>
        <w:gridCol w:w="991"/>
      </w:tblGrid>
      <w:tr w14:paraId="7E849B37">
        <w:tblPrEx>
          <w:tblCellMar>
            <w:top w:w="0" w:type="dxa"/>
            <w:left w:w="108" w:type="dxa"/>
            <w:bottom w:w="0" w:type="dxa"/>
            <w:right w:w="108" w:type="dxa"/>
          </w:tblCellMar>
        </w:tblPrEx>
        <w:trPr>
          <w:trHeight w:val="81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0AD51BC">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EA80D1D">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货物名称</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5002C04C">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采购</w:t>
            </w:r>
            <w:r>
              <w:rPr>
                <w:rFonts w:hint="eastAsia" w:ascii="宋体" w:hAnsi="宋体" w:eastAsia="宋体" w:cs="宋体"/>
                <w:b/>
                <w:bCs/>
                <w:color w:val="000000"/>
                <w:sz w:val="21"/>
                <w:szCs w:val="21"/>
              </w:rPr>
              <w:t>技术参数</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2770C9">
            <w:pPr>
              <w:widowControl/>
              <w:spacing w:line="360" w:lineRule="auto"/>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16DCEA">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F26D174">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预计3年采购量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E21464">
            <w:pPr>
              <w:widowControl/>
              <w:spacing w:line="360" w:lineRule="auto"/>
              <w:jc w:val="left"/>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拟采购</w:t>
            </w:r>
            <w:r>
              <w:rPr>
                <w:rFonts w:hint="eastAsia" w:ascii="宋体" w:hAnsi="宋体" w:eastAsia="宋体" w:cs="宋体"/>
                <w:b/>
                <w:bCs/>
                <w:color w:val="000000"/>
                <w:sz w:val="21"/>
                <w:szCs w:val="21"/>
                <w:lang w:val="en-US" w:eastAsia="zh-CN"/>
              </w:rPr>
              <w:t>单价最高</w:t>
            </w:r>
            <w:r>
              <w:rPr>
                <w:rFonts w:hint="eastAsia" w:ascii="宋体" w:hAnsi="宋体" w:eastAsia="宋体" w:cs="宋体"/>
                <w:b/>
                <w:bCs/>
                <w:color w:val="000000"/>
                <w:sz w:val="21"/>
                <w:szCs w:val="21"/>
              </w:rPr>
              <w:t>限价（元）</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0A9BB63">
            <w:pPr>
              <w:widowControl/>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37D36A61">
        <w:tblPrEx>
          <w:tblCellMar>
            <w:top w:w="0" w:type="dxa"/>
            <w:left w:w="108" w:type="dxa"/>
            <w:bottom w:w="0" w:type="dxa"/>
            <w:right w:w="108" w:type="dxa"/>
          </w:tblCellMar>
        </w:tblPrEx>
        <w:trPr>
          <w:trHeight w:val="1592"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3467DD1">
            <w:pPr>
              <w:widowControl/>
              <w:spacing w:line="360" w:lineRule="auto"/>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13D23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超声隔离透声膜</w:t>
            </w:r>
          </w:p>
        </w:tc>
        <w:tc>
          <w:tcPr>
            <w:tcW w:w="3481" w:type="dxa"/>
            <w:tcBorders>
              <w:top w:val="single" w:color="000000" w:sz="4" w:space="0"/>
              <w:left w:val="single" w:color="000000" w:sz="4" w:space="0"/>
              <w:bottom w:val="single" w:color="000000" w:sz="4" w:space="0"/>
              <w:right w:val="single" w:color="000000" w:sz="4" w:space="0"/>
            </w:tcBorders>
            <w:noWrap w:val="0"/>
            <w:vAlign w:val="center"/>
          </w:tcPr>
          <w:p w14:paraId="41D7492C">
            <w:pPr>
              <w:keepNext w:val="0"/>
              <w:keepLines w:val="0"/>
              <w:widowControl/>
              <w:suppressLineNumbers w:val="0"/>
              <w:jc w:val="left"/>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1.医疗器械类别:第二类医疗器械。</w:t>
            </w:r>
          </w:p>
          <w:p w14:paraId="100A480F">
            <w:pPr>
              <w:keepNext w:val="0"/>
              <w:keepLines w:val="0"/>
              <w:widowControl/>
              <w:suppressLineNumbers w:val="0"/>
              <w:jc w:val="left"/>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2.产品隔离膜单层厚度≥70 微米，产品拉力达9牛/平方厘米。</w:t>
            </w:r>
          </w:p>
          <w:p w14:paraId="146D23BF">
            <w:pPr>
              <w:keepNext w:val="0"/>
              <w:keepLines w:val="0"/>
              <w:widowControl/>
              <w:suppressLineNumbers w:val="0"/>
              <w:jc w:val="left"/>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3.隔离膜带润滑油。</w:t>
            </w:r>
          </w:p>
          <w:p w14:paraId="1AF7C540">
            <w:pPr>
              <w:keepNext w:val="0"/>
              <w:keepLines w:val="0"/>
              <w:widowControl/>
              <w:suppressLineNumbers w:val="0"/>
              <w:jc w:val="left"/>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4.配有手持固定环:安装套体时不接触套体，不污染套体达到无菌操作标准，保护患者安全。</w:t>
            </w:r>
          </w:p>
          <w:p w14:paraId="78D1A2CF">
            <w:pPr>
              <w:keepNext w:val="0"/>
              <w:keepLines w:val="0"/>
              <w:widowControl/>
              <w:suppressLineNumbers w:val="0"/>
              <w:jc w:val="left"/>
              <w:textAlignment w:val="center"/>
              <w:rPr>
                <w:rFonts w:hint="eastAsia" w:ascii="宋体" w:hAnsi="宋体" w:eastAsia="宋体" w:cs="宋体"/>
                <w:sz w:val="21"/>
                <w:szCs w:val="21"/>
              </w:rPr>
            </w:pPr>
            <w:r>
              <w:rPr>
                <w:rStyle w:val="6"/>
                <w:rFonts w:hint="eastAsia" w:ascii="宋体" w:hAnsi="宋体" w:eastAsia="宋体" w:cs="宋体"/>
                <w:sz w:val="21"/>
                <w:szCs w:val="21"/>
                <w:lang w:val="en-US" w:eastAsia="zh-CN" w:bidi="ar"/>
              </w:rPr>
              <w:t>★5.需提供透声率检测报告，透声性能探测深度高于160mm。</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364BED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各规格</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B376C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156E251">
            <w:pPr>
              <w:keepNext w:val="0"/>
              <w:keepLines w:val="0"/>
              <w:widowControl/>
              <w:suppressLineNumbers w:val="0"/>
              <w:jc w:val="center"/>
              <w:textAlignment w:val="bottom"/>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24000</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B5E57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03FFA43F">
            <w:pPr>
              <w:widowControl/>
              <w:spacing w:line="360" w:lineRule="auto"/>
              <w:jc w:val="left"/>
              <w:textAlignment w:val="center"/>
              <w:rPr>
                <w:rFonts w:hint="eastAsia" w:ascii="宋体" w:hAnsi="宋体" w:eastAsia="宋体" w:cs="宋体"/>
                <w:color w:val="000000"/>
                <w:kern w:val="0"/>
                <w:sz w:val="21"/>
                <w:szCs w:val="21"/>
                <w:lang w:bidi="ar"/>
              </w:rPr>
            </w:pPr>
          </w:p>
        </w:tc>
      </w:tr>
      <w:tr w14:paraId="17246F34">
        <w:tblPrEx>
          <w:tblCellMar>
            <w:top w:w="0" w:type="dxa"/>
            <w:left w:w="108" w:type="dxa"/>
            <w:bottom w:w="0" w:type="dxa"/>
            <w:right w:w="108" w:type="dxa"/>
          </w:tblCellMar>
        </w:tblPrEx>
        <w:trPr>
          <w:trHeight w:val="1592" w:hRule="atLeast"/>
          <w:jc w:val="center"/>
        </w:trPr>
        <w:tc>
          <w:tcPr>
            <w:tcW w:w="9706" w:type="dxa"/>
            <w:gridSpan w:val="8"/>
            <w:tcBorders>
              <w:top w:val="single" w:color="000000" w:sz="4" w:space="0"/>
              <w:left w:val="single" w:color="000000" w:sz="4" w:space="0"/>
              <w:bottom w:val="single" w:color="000000" w:sz="4" w:space="0"/>
              <w:right w:val="single" w:color="000000" w:sz="4" w:space="0"/>
            </w:tcBorders>
            <w:noWrap w:val="0"/>
            <w:vAlign w:val="center"/>
          </w:tcPr>
          <w:p w14:paraId="650BAE10">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说明：</w:t>
            </w:r>
            <w:r>
              <w:rPr>
                <w:rStyle w:val="6"/>
                <w:rFonts w:hint="eastAsia" w:ascii="宋体" w:hAnsi="宋体" w:eastAsia="宋体" w:cs="宋体"/>
                <w:sz w:val="22"/>
                <w:szCs w:val="22"/>
                <w:lang w:val="en-US" w:eastAsia="zh-CN" w:bidi="ar"/>
              </w:rPr>
              <w:br w:type="textWrapping"/>
            </w:r>
            <w:r>
              <w:rPr>
                <w:rStyle w:val="6"/>
                <w:rFonts w:hint="eastAsia" w:ascii="宋体" w:hAnsi="宋体" w:eastAsia="宋体" w:cs="宋体"/>
                <w:sz w:val="22"/>
                <w:szCs w:val="22"/>
                <w:lang w:val="en-US" w:eastAsia="zh-CN" w:bidi="ar"/>
              </w:rPr>
              <w:t>1、投标人的投标文件必须标明所投货物的品牌与参数，保证原厂正品供货；</w:t>
            </w:r>
          </w:p>
          <w:p w14:paraId="2D1B28C2">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2、本项目主要产品为表中序号为1 的“超声隔离透声膜”, 主要产品名称、品牌、规格、型号（如有）、数量、单价等信息将在中标结果公告中公示。</w:t>
            </w:r>
          </w:p>
          <w:p w14:paraId="2ACD354A">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3、本项目三年预计采购量仅供投标人参考；</w:t>
            </w:r>
          </w:p>
          <w:p w14:paraId="75D75F12">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4、本项目一次性规划，分步实施，按实结算。本项目货物进入采购人医院SPD管理（费率1.4%）；</w:t>
            </w:r>
          </w:p>
          <w:p w14:paraId="7B0B60DA">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5、投标人所投产品单价不得高于该产品单价限价，否则视为无效响应；</w:t>
            </w:r>
          </w:p>
          <w:p w14:paraId="4A7B17EB">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6、供货期限内如遇国家、省医保带量采购等相关政策调整，按国家、省医保带量采购等相关政策执行；</w:t>
            </w:r>
          </w:p>
          <w:p w14:paraId="4D10AAE8">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7、中标人供货价格计算方式如下：单价最高限价（单价）×中标费率=供货价格（单价）。如所投产品的安徽省医药集中采购中心平台限价低于该项目供货价格（单价），则按平台限价（单价）×中标费率=供货价格（单价）。供货价格（单价）结果保留两位小数；</w:t>
            </w:r>
          </w:p>
          <w:p w14:paraId="02F2B8BA">
            <w:pPr>
              <w:keepNext w:val="0"/>
              <w:keepLines w:val="0"/>
              <w:widowControl/>
              <w:suppressLineNumbers w:val="0"/>
              <w:jc w:val="left"/>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8、所投产品如有两票制要求则须执行两票制相关要求；所投产品如安徽省医药集中采购中心有相关要求，则须执行安徽省医药集中采购中心相关要求；</w:t>
            </w:r>
          </w:p>
          <w:p w14:paraId="24B82091">
            <w:pPr>
              <w:keepNext w:val="0"/>
              <w:keepLines w:val="0"/>
              <w:widowControl/>
              <w:suppressLineNumbers w:val="0"/>
              <w:jc w:val="left"/>
              <w:textAlignment w:val="center"/>
              <w:rPr>
                <w:rFonts w:hint="eastAsia" w:ascii="宋体" w:hAnsi="宋体" w:eastAsia="宋体" w:cs="宋体"/>
                <w:color w:val="000000"/>
                <w:kern w:val="0"/>
                <w:sz w:val="21"/>
                <w:szCs w:val="21"/>
                <w:lang w:bidi="ar"/>
              </w:rPr>
            </w:pPr>
            <w:r>
              <w:rPr>
                <w:rStyle w:val="6"/>
                <w:rFonts w:hint="eastAsia" w:ascii="宋体" w:hAnsi="宋体" w:eastAsia="宋体" w:cs="宋体"/>
                <w:sz w:val="22"/>
                <w:szCs w:val="22"/>
                <w:lang w:val="en-US" w:eastAsia="zh-CN" w:bidi="ar"/>
              </w:rPr>
              <w:t>9、最高投标费率：100%。</w:t>
            </w:r>
          </w:p>
        </w:tc>
      </w:tr>
    </w:tbl>
    <w:p w14:paraId="634DE4C7">
      <w:pPr>
        <w:widowControl/>
        <w:numPr>
          <w:ilvl w:val="0"/>
          <w:numId w:val="0"/>
        </w:numPr>
        <w:spacing w:line="360" w:lineRule="auto"/>
        <w:jc w:val="left"/>
        <w:rPr>
          <w:rFonts w:hint="eastAsia" w:ascii="宋体" w:hAnsi="宋体" w:eastAsia="宋体" w:cs="宋体"/>
          <w:b/>
          <w:color w:val="auto"/>
          <w:kern w:val="2"/>
          <w:sz w:val="24"/>
          <w:szCs w:val="24"/>
          <w:highlight w:val="none"/>
          <w:lang w:val="en-US" w:eastAsia="zh-CN" w:bidi="ar-SA"/>
        </w:rPr>
      </w:pPr>
    </w:p>
    <w:p w14:paraId="1B19FFA1">
      <w:pPr>
        <w:pStyle w:val="7"/>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二、质量要求</w:t>
      </w:r>
    </w:p>
    <w:p w14:paraId="4F707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29068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2.保证投标产品的质量，其供货时剩余有效期时间不得少于有效期的2/3。</w:t>
      </w:r>
    </w:p>
    <w:p w14:paraId="7B864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3.保证是原产地生产的原装产品，否则视为假冒伪劣产品。</w:t>
      </w:r>
    </w:p>
    <w:p w14:paraId="691E5EBC">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ind w:lef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供货期</w:t>
      </w:r>
    </w:p>
    <w:p w14:paraId="7536C3CB">
      <w:pPr>
        <w:keepNext w:val="0"/>
        <w:keepLines w:val="0"/>
        <w:pageBreakBefore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自合同执行日起三年或采购费用总额达到本项目总中标价（预算金额*中标费率）时，两者以先到者为准，在供货期内按照采购人的要求分批供货，据实结算。</w:t>
      </w:r>
    </w:p>
    <w:p w14:paraId="2B1D12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四、供货及售后要求</w:t>
      </w:r>
    </w:p>
    <w:p w14:paraId="15638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1.中标人接到采购人供货通知，根据采购人通知的规格型号和数量按计划送货，按照采购人要求送至指定地点，负责运输。</w:t>
      </w:r>
    </w:p>
    <w:p w14:paraId="262F2A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2.中标人根据采购人采购计划进行供货，不允许超计划供货，超出计划的数量，采购人不予验收入库，由中标人无条件带回。</w:t>
      </w:r>
    </w:p>
    <w:p w14:paraId="7A86A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3.中标人所投的品牌货物在供货或使用过程中出现质量和使用问题，采购人有权要求更换，直至采购人满意，且不再另行支付任何费用。</w:t>
      </w:r>
    </w:p>
    <w:p w14:paraId="1A2215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4.按采购人实际需求进行供货，中标人须无条件满足采购人需求，确保供货质量并及时供货。</w:t>
      </w:r>
    </w:p>
    <w:p w14:paraId="28A68C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五、验收</w:t>
      </w:r>
    </w:p>
    <w:p w14:paraId="1A70B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验收时采购人和中标人双方共同实施验收工作，验收合格后，结果和验收报告经双方确认后生效。</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六、付款方式</w:t>
      </w:r>
    </w:p>
    <w:p w14:paraId="1CE50B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1、分批供货，根据每月实际使用量入账，按采购人规定结算，即从采购人收到中标人开具的增值税发票之日起六个月后支付与发票金额相应的货款。</w:t>
      </w:r>
    </w:p>
    <w:p w14:paraId="230D3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2、采购人付款前，中标人应向采购人开具等额有效的增值税发票，中标人开票载明主体需</w:t>
      </w:r>
      <w:bookmarkStart w:id="0" w:name="_GoBack"/>
      <w:bookmarkEnd w:id="0"/>
      <w:r>
        <w:rPr>
          <w:rFonts w:hint="eastAsia" w:ascii="宋体" w:hAnsi="宋体" w:eastAsia="宋体" w:cs="宋体"/>
          <w:color w:val="auto"/>
          <w:sz w:val="24"/>
          <w:szCs w:val="24"/>
          <w:highlight w:val="none"/>
        </w:rPr>
        <w:t>与合同主体一致,采购人未收到发票或收到发票与合同主体不一致的,有权不予支付相应款项直至中标人提供合格发票，并不承担延迟付款责任。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D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5CDBF">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5CDBF">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9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0"/>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font21"/>
    <w:basedOn w:val="5"/>
    <w:qFormat/>
    <w:uiPriority w:val="0"/>
    <w:rPr>
      <w:rFonts w:hint="eastAsia" w:ascii="宋体" w:hAnsi="宋体" w:eastAsia="宋体" w:cs="宋体"/>
      <w:color w:val="000000"/>
      <w:sz w:val="18"/>
      <w:szCs w:val="18"/>
      <w:u w:val="none"/>
    </w:rPr>
  </w:style>
  <w:style w:type="paragraph" w:styleId="7">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mac</dc:creator>
  <cp:lastModifiedBy>大风起兮～</cp:lastModifiedBy>
  <dcterms:modified xsi:type="dcterms:W3CDTF">2025-11-10T09:38:48Z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eyJoZGlkIjoiZTVhNjI3MTkyMzg4OTUxMDlhMTZkNjM1NzI5NmMxZjkiLCJ1c2VySWQiOiI5MjI3MjA0MTMifQ==</vt:lpwstr>
  </property>
  <property fmtid="{D5CDD505-2E9C-101B-9397-08002B2CF9AE}" pid="4" name="ICV">
    <vt:lpwstr>D509BD2A07B9436782784FCDFCCA7ADA_12</vt:lpwstr>
  </property>
</Properties>
</file>