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48F20">
      <w:pPr>
        <w:spacing w:line="480" w:lineRule="exact"/>
        <w:jc w:val="center"/>
        <w:rPr>
          <w:rFonts w:ascii="宋体" w:cs="宋体"/>
          <w:b/>
          <w:bCs/>
          <w:snapToGrid w:val="0"/>
          <w:color w:val="auto"/>
          <w:kern w:val="0"/>
          <w:sz w:val="32"/>
          <w:szCs w:val="32"/>
          <w:highlight w:val="none"/>
        </w:rPr>
      </w:pPr>
      <w:r>
        <w:rPr>
          <w:rFonts w:hint="eastAsia" w:ascii="宋体" w:hAnsi="宋体" w:eastAsia="宋体" w:cs="宋体"/>
          <w:b/>
          <w:color w:val="auto"/>
          <w:kern w:val="2"/>
          <w:sz w:val="32"/>
          <w:szCs w:val="32"/>
          <w:highlight w:val="none"/>
          <w:lang w:val="zh-CN" w:eastAsia="zh-CN" w:bidi="ar-SA"/>
        </w:rPr>
        <w:t>货物需求及参数要求</w:t>
      </w:r>
    </w:p>
    <w:p w14:paraId="2EAD05F4">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为鼓励不同品牌的充分竞争，如某产品的某技术参数或要求属于个别品牌专有，则该技术参数及要求不具有限制性，投标人可对该参数或要求进行适当调整，但这种调整整体上要优于或相当于采购文件的相关要求，并说明调整理由，且该调整须经评标委员会审核认可。</w:t>
      </w:r>
    </w:p>
    <w:p w14:paraId="6DC23D37">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1、在采购活动开始前没有获准采购进口产品而开展采购活动的，视同为拒绝采购进口产品。</w:t>
      </w:r>
    </w:p>
    <w:p w14:paraId="51D77AD3">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2、下列采购需求中标注进口产品的货物均已履行相关论证手续，经核准采购进口产品，但不限制满足采购文件要求的国内产品参与竞争。未标注进口产品的货物均为拒绝采购进口产品。</w:t>
      </w:r>
    </w:p>
    <w:p w14:paraId="19F5CF57">
      <w:pPr>
        <w:widowControl/>
        <w:numPr>
          <w:ilvl w:val="0"/>
          <w:numId w:val="0"/>
        </w:numPr>
        <w:spacing w:line="360" w:lineRule="auto"/>
        <w:jc w:val="left"/>
        <w:rPr>
          <w:rFonts w:hint="eastAsia" w:ascii="宋体" w:hAnsi="宋体" w:eastAsia="宋体" w:cs="宋体"/>
          <w:b/>
          <w:bCs/>
          <w:color w:val="auto"/>
          <w:sz w:val="24"/>
          <w:szCs w:val="24"/>
          <w:highlight w:val="none"/>
        </w:rPr>
      </w:pPr>
      <w:r>
        <w:rPr>
          <w:rFonts w:hint="eastAsia" w:ascii="宋体" w:hAnsi="宋体"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sz w:val="24"/>
          <w:szCs w:val="24"/>
          <w:highlight w:val="none"/>
        </w:rPr>
        <w:t>货物需求一览表</w:t>
      </w:r>
      <w:bookmarkStart w:id="0" w:name="_Hlk106267351"/>
      <w:bookmarkStart w:id="1" w:name="_Hlk96158360"/>
    </w:p>
    <w:tbl>
      <w:tblPr>
        <w:tblStyle w:val="6"/>
        <w:tblW w:w="9789" w:type="dxa"/>
        <w:jc w:val="center"/>
        <w:tblLayout w:type="fixed"/>
        <w:tblCellMar>
          <w:top w:w="0" w:type="dxa"/>
          <w:left w:w="108" w:type="dxa"/>
          <w:bottom w:w="0" w:type="dxa"/>
          <w:right w:w="108" w:type="dxa"/>
        </w:tblCellMar>
      </w:tblPr>
      <w:tblGrid>
        <w:gridCol w:w="524"/>
        <w:gridCol w:w="866"/>
        <w:gridCol w:w="5830"/>
        <w:gridCol w:w="675"/>
        <w:gridCol w:w="1196"/>
        <w:gridCol w:w="698"/>
      </w:tblGrid>
      <w:tr w14:paraId="165A3F64">
        <w:tblPrEx>
          <w:tblCellMar>
            <w:top w:w="0" w:type="dxa"/>
            <w:left w:w="108" w:type="dxa"/>
            <w:bottom w:w="0" w:type="dxa"/>
            <w:right w:w="108" w:type="dxa"/>
          </w:tblCellMar>
        </w:tblPrEx>
        <w:trPr>
          <w:trHeight w:val="652" w:hRule="atLeast"/>
          <w:jc w:val="center"/>
        </w:trPr>
        <w:tc>
          <w:tcPr>
            <w:tcW w:w="524" w:type="dxa"/>
            <w:tcBorders>
              <w:top w:val="single" w:color="000000" w:sz="4" w:space="0"/>
              <w:left w:val="single" w:color="000000" w:sz="4" w:space="0"/>
              <w:bottom w:val="single" w:color="auto" w:sz="4" w:space="0"/>
              <w:right w:val="single" w:color="000000" w:sz="4" w:space="0"/>
            </w:tcBorders>
            <w:noWrap/>
            <w:vAlign w:val="center"/>
          </w:tcPr>
          <w:p w14:paraId="12D299A2">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866" w:type="dxa"/>
            <w:tcBorders>
              <w:top w:val="single" w:color="000000" w:sz="4" w:space="0"/>
              <w:left w:val="single" w:color="000000" w:sz="4" w:space="0"/>
              <w:bottom w:val="single" w:color="auto" w:sz="4" w:space="0"/>
              <w:right w:val="single" w:color="000000" w:sz="4" w:space="0"/>
            </w:tcBorders>
            <w:noWrap/>
            <w:vAlign w:val="center"/>
          </w:tcPr>
          <w:p w14:paraId="345CA369">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产品</w:t>
            </w:r>
            <w:r>
              <w:rPr>
                <w:rFonts w:hint="eastAsia" w:ascii="宋体" w:hAnsi="宋体" w:eastAsia="宋体" w:cs="宋体"/>
                <w:b/>
                <w:bCs/>
                <w:color w:val="auto"/>
                <w:kern w:val="0"/>
                <w:sz w:val="24"/>
                <w:szCs w:val="24"/>
                <w:highlight w:val="none"/>
                <w:lang w:bidi="ar"/>
              </w:rPr>
              <w:t>名称</w:t>
            </w:r>
          </w:p>
        </w:tc>
        <w:tc>
          <w:tcPr>
            <w:tcW w:w="5830" w:type="dxa"/>
            <w:tcBorders>
              <w:top w:val="single" w:color="000000" w:sz="4" w:space="0"/>
              <w:left w:val="single" w:color="000000" w:sz="4" w:space="0"/>
              <w:bottom w:val="single" w:color="auto" w:sz="4" w:space="0"/>
              <w:right w:val="single" w:color="000000" w:sz="4" w:space="0"/>
            </w:tcBorders>
            <w:noWrap/>
            <w:vAlign w:val="center"/>
          </w:tcPr>
          <w:p w14:paraId="60F5B887">
            <w:pPr>
              <w:widowControl/>
              <w:spacing w:line="360" w:lineRule="auto"/>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eastAsia="zh-CN" w:bidi="ar"/>
              </w:rPr>
              <w:t>采购</w:t>
            </w:r>
            <w:r>
              <w:rPr>
                <w:rFonts w:hint="eastAsia" w:ascii="宋体" w:hAnsi="宋体" w:eastAsia="宋体" w:cs="宋体"/>
                <w:b/>
                <w:bCs/>
                <w:color w:val="auto"/>
                <w:kern w:val="0"/>
                <w:sz w:val="24"/>
                <w:szCs w:val="24"/>
                <w:highlight w:val="none"/>
                <w:lang w:bidi="ar"/>
              </w:rPr>
              <w:t>技术参数</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0271952C">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w:t>
            </w:r>
            <w:r>
              <w:rPr>
                <w:rFonts w:hint="eastAsia" w:ascii="宋体" w:hAnsi="宋体" w:eastAsia="宋体" w:cs="宋体"/>
                <w:b/>
                <w:bCs/>
                <w:color w:val="auto"/>
                <w:kern w:val="0"/>
                <w:sz w:val="24"/>
                <w:szCs w:val="24"/>
                <w:highlight w:val="none"/>
                <w:lang w:bidi="ar"/>
              </w:rPr>
              <w:t>量</w:t>
            </w:r>
          </w:p>
        </w:tc>
        <w:tc>
          <w:tcPr>
            <w:tcW w:w="1196" w:type="dxa"/>
            <w:tcBorders>
              <w:top w:val="single" w:color="000000" w:sz="4" w:space="0"/>
              <w:left w:val="single" w:color="000000" w:sz="4" w:space="0"/>
              <w:bottom w:val="single" w:color="000000" w:sz="4" w:space="0"/>
              <w:right w:val="single" w:color="000000" w:sz="4" w:space="0"/>
            </w:tcBorders>
            <w:noWrap/>
            <w:vAlign w:val="center"/>
          </w:tcPr>
          <w:p w14:paraId="3DAE70D9">
            <w:pPr>
              <w:widowControl/>
              <w:jc w:val="center"/>
              <w:textAlignment w:val="center"/>
              <w:rPr>
                <w:rFonts w:hint="eastAsia" w:ascii="宋体" w:hAnsi="宋体" w:eastAsia="宋体" w:cs="宋体"/>
                <w:b/>
                <w:bCs/>
                <w:color w:val="auto"/>
                <w:kern w:val="0"/>
                <w:sz w:val="24"/>
                <w:szCs w:val="24"/>
                <w:highlight w:val="none"/>
                <w:lang w:eastAsia="zh-CN" w:bidi="ar"/>
              </w:rPr>
            </w:pPr>
            <w:r>
              <w:rPr>
                <w:rFonts w:hint="eastAsia" w:ascii="宋体" w:hAnsi="宋体" w:eastAsia="宋体" w:cs="宋体"/>
                <w:b/>
                <w:bCs/>
                <w:color w:val="auto"/>
                <w:kern w:val="0"/>
                <w:sz w:val="24"/>
                <w:szCs w:val="24"/>
                <w:highlight w:val="none"/>
                <w:lang w:val="en-US" w:eastAsia="zh-CN" w:bidi="ar"/>
              </w:rPr>
              <w:t>单价</w:t>
            </w:r>
            <w:r>
              <w:rPr>
                <w:rFonts w:hint="eastAsia" w:ascii="宋体" w:hAnsi="宋体" w:eastAsia="宋体" w:cs="宋体"/>
                <w:b/>
                <w:bCs/>
                <w:color w:val="auto"/>
                <w:kern w:val="0"/>
                <w:sz w:val="24"/>
                <w:szCs w:val="24"/>
                <w:highlight w:val="none"/>
                <w:lang w:bidi="ar"/>
              </w:rPr>
              <w:t>限价</w:t>
            </w:r>
            <w:r>
              <w:rPr>
                <w:rFonts w:hint="eastAsia" w:ascii="宋体" w:hAnsi="宋体" w:eastAsia="宋体" w:cs="宋体"/>
                <w:b/>
                <w:bCs/>
                <w:color w:val="auto"/>
                <w:kern w:val="0"/>
                <w:sz w:val="24"/>
                <w:szCs w:val="24"/>
                <w:highlight w:val="none"/>
                <w:lang w:eastAsia="zh-CN" w:bidi="ar"/>
              </w:rPr>
              <w:t>（</w:t>
            </w:r>
            <w:r>
              <w:rPr>
                <w:rFonts w:hint="eastAsia" w:ascii="宋体" w:hAnsi="宋体" w:eastAsia="宋体" w:cs="宋体"/>
                <w:b/>
                <w:bCs/>
                <w:color w:val="auto"/>
                <w:kern w:val="0"/>
                <w:sz w:val="24"/>
                <w:szCs w:val="24"/>
                <w:highlight w:val="none"/>
                <w:lang w:val="en-US" w:eastAsia="zh-CN" w:bidi="ar"/>
              </w:rPr>
              <w:t>元/</w:t>
            </w:r>
            <w:r>
              <w:rPr>
                <w:rFonts w:hint="eastAsia" w:ascii="宋体" w:hAnsi="宋体" w:cs="宋体"/>
                <w:b/>
                <w:bCs/>
                <w:color w:val="auto"/>
                <w:kern w:val="0"/>
                <w:sz w:val="24"/>
                <w:szCs w:val="24"/>
                <w:highlight w:val="none"/>
                <w:lang w:val="en-US" w:eastAsia="zh-CN" w:bidi="ar"/>
              </w:rPr>
              <w:t>台</w:t>
            </w:r>
            <w:r>
              <w:rPr>
                <w:rFonts w:hint="eastAsia" w:ascii="宋体" w:hAnsi="宋体" w:eastAsia="宋体" w:cs="宋体"/>
                <w:b/>
                <w:bCs/>
                <w:color w:val="auto"/>
                <w:kern w:val="0"/>
                <w:sz w:val="24"/>
                <w:szCs w:val="24"/>
                <w:highlight w:val="none"/>
                <w:lang w:eastAsia="zh-CN" w:bidi="ar"/>
              </w:rPr>
              <w:t>）</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631668BA">
            <w:pPr>
              <w:widowControl/>
              <w:jc w:val="center"/>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备注</w:t>
            </w:r>
          </w:p>
        </w:tc>
      </w:tr>
      <w:tr w14:paraId="73426A70">
        <w:tblPrEx>
          <w:tblCellMar>
            <w:top w:w="0" w:type="dxa"/>
            <w:left w:w="108" w:type="dxa"/>
            <w:bottom w:w="0" w:type="dxa"/>
            <w:right w:w="108" w:type="dxa"/>
          </w:tblCellMar>
        </w:tblPrEx>
        <w:trPr>
          <w:trHeight w:val="90" w:hRule="atLeast"/>
          <w:jc w:val="center"/>
        </w:trPr>
        <w:tc>
          <w:tcPr>
            <w:tcW w:w="524" w:type="dxa"/>
            <w:tcBorders>
              <w:top w:val="single" w:color="auto" w:sz="4" w:space="0"/>
              <w:left w:val="single" w:color="auto" w:sz="4" w:space="0"/>
              <w:bottom w:val="single" w:color="auto" w:sz="4" w:space="0"/>
              <w:right w:val="single" w:color="auto" w:sz="4" w:space="0"/>
            </w:tcBorders>
            <w:noWrap/>
            <w:vAlign w:val="center"/>
          </w:tcPr>
          <w:p w14:paraId="7A16D25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66" w:type="dxa"/>
            <w:tcBorders>
              <w:top w:val="single" w:color="auto" w:sz="4" w:space="0"/>
              <w:left w:val="single" w:color="auto" w:sz="4" w:space="0"/>
              <w:bottom w:val="single" w:color="auto" w:sz="4" w:space="0"/>
              <w:right w:val="single" w:color="auto" w:sz="4" w:space="0"/>
            </w:tcBorders>
            <w:noWrap/>
            <w:vAlign w:val="center"/>
          </w:tcPr>
          <w:p w14:paraId="58913C89">
            <w:pPr>
              <w:widowControl/>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超声骨密度仪</w:t>
            </w:r>
          </w:p>
        </w:tc>
        <w:tc>
          <w:tcPr>
            <w:tcW w:w="5830" w:type="dxa"/>
            <w:tcBorders>
              <w:top w:val="single" w:color="auto" w:sz="4" w:space="0"/>
              <w:left w:val="single" w:color="auto" w:sz="4" w:space="0"/>
              <w:bottom w:val="single" w:color="auto" w:sz="4" w:space="0"/>
              <w:right w:val="single" w:color="000000" w:sz="4" w:space="0"/>
            </w:tcBorders>
            <w:noWrap/>
            <w:vAlign w:val="center"/>
          </w:tcPr>
          <w:p w14:paraId="3937A0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1、主要技术规格</w:t>
            </w:r>
          </w:p>
          <w:p w14:paraId="5BB3FE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1.1探头工作频率:核心频率1.25MHz，偏差</w:t>
            </w:r>
            <w:r>
              <w:rPr>
                <w:rFonts w:hint="eastAsia" w:ascii="宋体" w:hAnsi="宋体" w:eastAsia="宋体" w:cs="宋体"/>
                <w:i w:val="0"/>
                <w:iCs w:val="0"/>
                <w:color w:val="auto"/>
                <w:kern w:val="0"/>
                <w:sz w:val="16"/>
                <w:szCs w:val="16"/>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±15%；</w:t>
            </w:r>
          </w:p>
          <w:p w14:paraId="58995D9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1.2探头组成:完全自主研发四晶体超声探头；</w:t>
            </w:r>
          </w:p>
          <w:p w14:paraId="1E122E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1.3收发模式:轴向超声波传导技术，双晶体发射双晶体接收，自动消除软组织干扰，确保数据的高准确度、高重复性；</w:t>
            </w:r>
          </w:p>
          <w:p w14:paraId="271600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1.4检测部位:桡骨、胫骨；</w:t>
            </w:r>
            <w:bookmarkStart w:id="10" w:name="_GoBack"/>
            <w:bookmarkEnd w:id="10"/>
          </w:p>
          <w:p w14:paraId="49AE18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1.5测量参数:SOS值、T值、Z值、相对骨折风险、骨强度指数、骨质疏松预计发生年龄、身高预测、骨骼生理年龄；</w:t>
            </w:r>
          </w:p>
          <w:p w14:paraId="146EA6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★1.6高测量重复性:≤±0.15%；</w:t>
            </w:r>
            <w:r>
              <w:rPr>
                <w:rFonts w:hint="eastAsia" w:ascii="宋体" w:hAnsi="宋体" w:eastAsia="宋体" w:cs="宋体"/>
                <w:i w:val="0"/>
                <w:iCs w:val="0"/>
                <w:color w:val="auto"/>
                <w:kern w:val="0"/>
                <w:sz w:val="16"/>
                <w:szCs w:val="16"/>
                <w:highlight w:val="none"/>
                <w:u w:val="none"/>
                <w:lang w:val="en-US" w:eastAsia="zh-CN" w:bidi="ar"/>
              </w:rPr>
              <w:t>；</w:t>
            </w:r>
          </w:p>
          <w:p w14:paraId="01314A7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1.7支持探头种类不低于4种</w:t>
            </w:r>
          </w:p>
          <w:p w14:paraId="49D40D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1.8在黄铜、有机玻璃双重校准下误差≤±50m/s；</w:t>
            </w:r>
          </w:p>
          <w:p w14:paraId="079D7C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1.9 快速、高精度两种测量模式；</w:t>
            </w:r>
          </w:p>
          <w:p w14:paraId="39880C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1.10单点检测速度:≤0.4s；</w:t>
            </w:r>
          </w:p>
          <w:p w14:paraId="01B82C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1.11单次测量时间≤10秒。</w:t>
            </w:r>
          </w:p>
          <w:p w14:paraId="337C335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★1.12产品主机自带安卓系统与触控屏，不需要外接电脑或平板进行操作控制</w:t>
            </w:r>
          </w:p>
          <w:p w14:paraId="09E63B4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★1.13主机配备的探头通道数量不低于3个，可根据不同需求切换探头；</w:t>
            </w:r>
          </w:p>
          <w:p w14:paraId="4C5CA3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2、产品功能</w:t>
            </w:r>
          </w:p>
          <w:p w14:paraId="02D419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★2.1探头导航:实时可视探头与皮肤接触状态、探头与骨骼平面夹角，角度显示偏转精度0.01°；</w:t>
            </w:r>
          </w:p>
          <w:p w14:paraId="3961C5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 联网功能：</w:t>
            </w:r>
          </w:p>
          <w:p w14:paraId="502F22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2.2.1 数据联网方式： 支持有线、WIFI、4G模块联网；</w:t>
            </w:r>
          </w:p>
          <w:p w14:paraId="65B7984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2.2.2 支持DB（SQL Server、Oracle、MySql、Postgre SQL）、Http、WebService数据接口，将检测数据传输至医院网络系统；</w:t>
            </w:r>
          </w:p>
          <w:p w14:paraId="538CCC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2.3实时显示骨质声速值、测量次数、测量时间，直观易懂；</w:t>
            </w:r>
          </w:p>
          <w:p w14:paraId="4AF1C5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2.4显示患者详细信息资料并可编辑；</w:t>
            </w:r>
          </w:p>
          <w:p w14:paraId="344C3EF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2.5显示历史测量结果；</w:t>
            </w:r>
          </w:p>
          <w:p w14:paraId="36D6A5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2.6多外置接口开放，实现病人信息快速录入；</w:t>
            </w:r>
          </w:p>
          <w:p w14:paraId="74DC7B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2.7病案管理功能：可对病例进行保存、显示、检索、编辑、删除、追加、导出等一系列操作管理；</w:t>
            </w:r>
          </w:p>
          <w:p w14:paraId="517096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2.8 提供A4、16K、B5等多种尺寸报告单；</w:t>
            </w:r>
          </w:p>
          <w:p w14:paraId="19F53D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2.9自动生成报告单；</w:t>
            </w:r>
          </w:p>
          <w:p w14:paraId="73501A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2.10 支持保存报告单为PNG、JPG、BMP及PDF等格式；</w:t>
            </w:r>
          </w:p>
          <w:p w14:paraId="6F50F3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2.11 便携式校验模块（带温度指示条）：用于检测前设备的校验，确保检测数据准确性；</w:t>
            </w:r>
          </w:p>
          <w:p w14:paraId="391A314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2.12报告单自定义:可重新编辑报告单字段，针对检测结果，检测图表，检测意见或者医生意见等字段，可随意进行缩放，拖动，添加或删除等操作，满足更多客户需求；</w:t>
            </w:r>
          </w:p>
          <w:p w14:paraId="15D049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2.13骨密度主机内置探头装置:防止探头磕碰，增加探头使用时间，保护探头寿命；</w:t>
            </w:r>
          </w:p>
          <w:p w14:paraId="393914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2.14适合中国人标准的数据库，婴幼儿（0-5岁）数据库，青少年（5-20岁）数据库，成人（20-90岁）数据库；</w:t>
            </w:r>
          </w:p>
          <w:p w14:paraId="0361BE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2.15辅助测量装置：固定桡骨检测部位，提高检测数据的准确度；</w:t>
            </w:r>
          </w:p>
          <w:p w14:paraId="1691AC9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2.16双屏功能：拓展显示内容，检测动画、检测曲线分屏显示，检测便捷、准确；</w:t>
            </w:r>
          </w:p>
        </w:tc>
        <w:tc>
          <w:tcPr>
            <w:tcW w:w="675" w:type="dxa"/>
            <w:tcBorders>
              <w:top w:val="single" w:color="000000" w:sz="4" w:space="0"/>
              <w:left w:val="single" w:color="000000" w:sz="4" w:space="0"/>
              <w:bottom w:val="single" w:color="auto" w:sz="4" w:space="0"/>
              <w:right w:val="single" w:color="000000" w:sz="4" w:space="0"/>
            </w:tcBorders>
            <w:noWrap/>
            <w:vAlign w:val="center"/>
          </w:tcPr>
          <w:p w14:paraId="0449BDF6">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台</w:t>
            </w:r>
          </w:p>
        </w:tc>
        <w:tc>
          <w:tcPr>
            <w:tcW w:w="1196" w:type="dxa"/>
            <w:tcBorders>
              <w:top w:val="single" w:color="000000" w:sz="4" w:space="0"/>
              <w:left w:val="single" w:color="000000" w:sz="4" w:space="0"/>
              <w:bottom w:val="single" w:color="auto" w:sz="4" w:space="0"/>
              <w:right w:val="single" w:color="000000" w:sz="4" w:space="0"/>
            </w:tcBorders>
            <w:noWrap/>
            <w:vAlign w:val="center"/>
          </w:tcPr>
          <w:p w14:paraId="108E4198">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0000</w:t>
            </w:r>
          </w:p>
        </w:tc>
        <w:tc>
          <w:tcPr>
            <w:tcW w:w="698" w:type="dxa"/>
            <w:tcBorders>
              <w:top w:val="single" w:color="000000" w:sz="4" w:space="0"/>
              <w:left w:val="single" w:color="000000" w:sz="4" w:space="0"/>
              <w:bottom w:val="single" w:color="auto" w:sz="4" w:space="0"/>
              <w:right w:val="single" w:color="000000" w:sz="4" w:space="0"/>
            </w:tcBorders>
            <w:noWrap/>
            <w:vAlign w:val="center"/>
          </w:tcPr>
          <w:p w14:paraId="631C2D74">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r>
      <w:tr w14:paraId="17CF26EA">
        <w:tblPrEx>
          <w:tblCellMar>
            <w:top w:w="0" w:type="dxa"/>
            <w:left w:w="108" w:type="dxa"/>
            <w:bottom w:w="0" w:type="dxa"/>
            <w:right w:w="108" w:type="dxa"/>
          </w:tblCellMar>
        </w:tblPrEx>
        <w:trPr>
          <w:trHeight w:val="90" w:hRule="atLeast"/>
          <w:jc w:val="center"/>
        </w:trPr>
        <w:tc>
          <w:tcPr>
            <w:tcW w:w="9789" w:type="dxa"/>
            <w:gridSpan w:val="6"/>
            <w:tcBorders>
              <w:top w:val="single" w:color="auto" w:sz="4" w:space="0"/>
              <w:left w:val="single" w:color="000000" w:sz="4" w:space="0"/>
              <w:bottom w:val="single" w:color="000000" w:sz="4" w:space="0"/>
              <w:right w:val="single" w:color="000000" w:sz="4" w:space="0"/>
            </w:tcBorders>
            <w:noWrap/>
            <w:vAlign w:val="center"/>
          </w:tcPr>
          <w:p w14:paraId="7A63FCD2">
            <w:pPr>
              <w:widowControl/>
              <w:spacing w:line="360" w:lineRule="auto"/>
              <w:ind w:left="630" w:hanging="720" w:hangingChars="300"/>
              <w:jc w:val="left"/>
              <w:textAlignment w:val="center"/>
              <w:rPr>
                <w:rFonts w:hint="eastAsia"/>
                <w:color w:val="auto"/>
                <w:highlight w:val="none"/>
              </w:rPr>
            </w:pPr>
            <w:r>
              <w:rPr>
                <w:rFonts w:hint="eastAsia" w:ascii="宋体" w:hAnsi="宋体" w:eastAsia="宋体" w:cs="宋体"/>
                <w:bCs/>
                <w:color w:val="auto"/>
                <w:sz w:val="24"/>
                <w:szCs w:val="24"/>
                <w:highlight w:val="none"/>
              </w:rPr>
              <w:t>说明：</w:t>
            </w:r>
          </w:p>
          <w:p w14:paraId="5B6B6F16">
            <w:pPr>
              <w:widowControl/>
              <w:spacing w:line="360" w:lineRule="auto"/>
              <w:ind w:firstLine="480" w:firstLineChars="200"/>
              <w:jc w:val="left"/>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1、投标人的投标文件必须标明所投货物的品牌与参数，保证原厂正品供货；</w:t>
            </w:r>
          </w:p>
          <w:p w14:paraId="446A3785">
            <w:pPr>
              <w:widowControl/>
              <w:spacing w:line="360" w:lineRule="auto"/>
              <w:ind w:firstLine="480" w:firstLineChars="200"/>
              <w:jc w:val="left"/>
              <w:textAlignment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2、免费质保期:所投设备设施及配置，均需提供原厂质保至少3年</w:t>
            </w:r>
          </w:p>
          <w:p w14:paraId="78B2611E">
            <w:pPr>
              <w:widowControl/>
              <w:spacing w:line="360" w:lineRule="auto"/>
              <w:ind w:firstLine="480" w:firstLineChars="200"/>
              <w:jc w:val="left"/>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、投标人所投产品单价不得高于该产品单价限价，否则视为无效响应。</w:t>
            </w:r>
          </w:p>
          <w:p w14:paraId="623E8922">
            <w:pPr>
              <w:widowControl/>
              <w:spacing w:line="360" w:lineRule="auto"/>
              <w:ind w:firstLine="480" w:firstLineChars="200"/>
              <w:jc w:val="left"/>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技术参数中标★项技术参数须提供相关技术证明文件之一（医疗器械注册证、医疗器械注册登记表、第三方检测报告、产品技术白皮书、产品使用说明书）予以证明。如投标人的投标文件中提供的相关技术证明文件（医疗器械注册证、医疗器械注册登记表、第三方检测报告、产品技术白皮书、产品使用说明书）中关于同一技术参数的表述不一致时，相关技术证明文件的效力由高到低顺序依次为医疗器械注册证、医疗器械注册登记表、第三方检测报告、产品技术白皮书、产品使用说明书。</w:t>
            </w:r>
          </w:p>
          <w:p w14:paraId="1A9CEB48">
            <w:pPr>
              <w:widowControl/>
              <w:spacing w:line="360" w:lineRule="auto"/>
              <w:ind w:firstLine="480" w:firstLineChars="200"/>
              <w:jc w:val="left"/>
              <w:textAlignment w:val="center"/>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.所有技术参数及要求采购人验收时将逐条核对，如发现与实际情况不符、虚假响应等，采购人有权报监管部门并追究违约责任。</w:t>
            </w:r>
          </w:p>
          <w:p w14:paraId="10FAF5BC">
            <w:pPr>
              <w:widowControl/>
              <w:spacing w:line="360" w:lineRule="auto"/>
              <w:ind w:firstLine="480" w:firstLineChars="200"/>
              <w:jc w:val="left"/>
              <w:textAlignment w:val="center"/>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.投标人应按照采购文件要求提供证明材料。若投标提供了采购文件未要求的证明材料，评标委员会将不予评审。</w:t>
            </w:r>
          </w:p>
          <w:p w14:paraId="586815BB">
            <w:pPr>
              <w:widowControl/>
              <w:spacing w:line="360" w:lineRule="auto"/>
              <w:ind w:firstLine="480" w:firstLineChars="200"/>
              <w:jc w:val="left"/>
              <w:rPr>
                <w:rFonts w:hint="eastAsia" w:ascii="宋体" w:hAnsi="宋体" w:eastAsia="宋体" w:cs="宋体"/>
                <w:b/>
                <w:bCs w:val="0"/>
                <w:color w:val="auto"/>
                <w:sz w:val="24"/>
                <w:szCs w:val="24"/>
                <w:highlight w:val="none"/>
                <w:lang w:val="en-US" w:eastAsia="zh-CN"/>
              </w:rPr>
            </w:pPr>
            <w:r>
              <w:rPr>
                <w:rFonts w:hint="eastAsia" w:ascii="宋体"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rPr>
              <w:t>.投标人提供的证明材料须清晰的反映评审内容，如因材料模糊不清，导致评标委员会无法辨认的，评标委员会可以不予认可，一切后果由投标人自行承担。</w:t>
            </w:r>
            <w:r>
              <w:rPr>
                <w:rFonts w:hint="eastAsia" w:ascii="宋体" w:hAnsi="宋体" w:eastAsia="宋体" w:cs="宋体"/>
                <w:b/>
                <w:bCs w:val="0"/>
                <w:color w:val="auto"/>
                <w:sz w:val="24"/>
                <w:szCs w:val="24"/>
                <w:highlight w:val="none"/>
                <w:lang w:val="en-US" w:eastAsia="zh-CN"/>
              </w:rPr>
              <w:br w:type="textWrapping"/>
            </w:r>
            <w:r>
              <w:rPr>
                <w:rFonts w:hint="eastAsia" w:ascii="宋体" w:hAnsi="宋体" w:eastAsia="宋体" w:cs="宋体"/>
                <w:b/>
                <w:bCs w:val="0"/>
                <w:color w:val="auto"/>
                <w:sz w:val="24"/>
                <w:szCs w:val="24"/>
                <w:highlight w:val="none"/>
                <w:lang w:val="en-US" w:eastAsia="zh-CN"/>
              </w:rPr>
              <w:t xml:space="preserve">    </w:t>
            </w:r>
            <w:r>
              <w:rPr>
                <w:rFonts w:hint="eastAsia" w:ascii="宋体" w:hAnsi="宋体"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lang w:val="en-US" w:eastAsia="zh-CN"/>
              </w:rPr>
              <w:t>.商品包装要求：除另有约定外，中标人交付全部货物的包装要求严格按照国家强制标准执行。</w:t>
            </w:r>
          </w:p>
        </w:tc>
      </w:tr>
      <w:bookmarkEnd w:id="0"/>
      <w:bookmarkEnd w:id="1"/>
    </w:tbl>
    <w:p w14:paraId="69D50EB0">
      <w:pPr>
        <w:pStyle w:val="8"/>
        <w:shd w:val="clear" w:color="auto" w:fill="FFFFFF"/>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val="en-US" w:eastAsia="zh-CN"/>
        </w:rPr>
        <w:t>供货及安装期限</w:t>
      </w:r>
    </w:p>
    <w:p w14:paraId="2DA171A5">
      <w:pPr>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合同签订后</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日历天内完成供货安装调试。</w:t>
      </w:r>
    </w:p>
    <w:p w14:paraId="25919C83">
      <w:pPr>
        <w:spacing w:line="360" w:lineRule="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三、报价要求</w:t>
      </w:r>
    </w:p>
    <w:p w14:paraId="5E2E11B3">
      <w:pPr>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总价包干，报价包括为完成本项目而产生的全部费用（除列明的货物需求外，如投标人所投产品须配套其他必要的货物方可正常使用的，投标人须为本项目配备，费用包含在报价中），采购人后期不再追加任何费用，请投标人谨慎报价。</w:t>
      </w:r>
    </w:p>
    <w:p w14:paraId="007BC3F4">
      <w:pPr>
        <w:spacing w:line="360" w:lineRule="auto"/>
        <w:ind w:left="422" w:hanging="482" w:hangingChars="200"/>
        <w:outlineLvl w:val="1"/>
        <w:rPr>
          <w:rFonts w:hint="eastAsia" w:ascii="宋体" w:hAnsi="宋体" w:eastAsia="宋体" w:cs="宋体"/>
          <w:color w:val="auto"/>
          <w:sz w:val="24"/>
          <w:szCs w:val="24"/>
          <w:highlight w:val="none"/>
        </w:rPr>
      </w:pPr>
      <w:bookmarkStart w:id="2" w:name="_Toc14698"/>
      <w:bookmarkStart w:id="3" w:name="_Toc15293"/>
      <w:r>
        <w:rPr>
          <w:rFonts w:hint="eastAsia" w:ascii="宋体" w:hAnsi="宋体" w:eastAsia="宋体" w:cs="宋体"/>
          <w:b/>
          <w:bCs/>
          <w:color w:val="auto"/>
          <w:sz w:val="24"/>
          <w:szCs w:val="24"/>
          <w:highlight w:val="none"/>
        </w:rPr>
        <w:t>四、其他要求</w:t>
      </w:r>
      <w:bookmarkEnd w:id="2"/>
      <w:bookmarkEnd w:id="3"/>
      <w:bookmarkStart w:id="4" w:name="_Toc4579"/>
      <w:bookmarkStart w:id="5" w:name="_Toc15427"/>
      <w:r>
        <w:rPr>
          <w:rFonts w:hint="eastAsia" w:ascii="宋体" w:hAnsi="宋体" w:eastAsia="宋体" w:cs="宋体"/>
          <w:b/>
          <w:bCs/>
          <w:color w:val="auto"/>
          <w:sz w:val="24"/>
          <w:szCs w:val="24"/>
          <w:highlight w:val="none"/>
        </w:rPr>
        <w:br w:type="textWrapping"/>
      </w:r>
      <w:r>
        <w:rPr>
          <w:rFonts w:hint="eastAsia" w:ascii="宋体" w:hAnsi="宋体" w:eastAsia="宋体" w:cs="宋体"/>
          <w:color w:val="auto"/>
          <w:sz w:val="24"/>
          <w:szCs w:val="24"/>
          <w:highlight w:val="none"/>
        </w:rPr>
        <w:t>1.</w:t>
      </w:r>
      <w:bookmarkEnd w:id="4"/>
      <w:bookmarkEnd w:id="5"/>
      <w:r>
        <w:rPr>
          <w:rFonts w:hint="eastAsia" w:ascii="宋体" w:hAnsi="宋体" w:eastAsia="宋体" w:cs="宋体"/>
          <w:color w:val="auto"/>
          <w:sz w:val="24"/>
          <w:szCs w:val="24"/>
          <w:highlight w:val="none"/>
        </w:rPr>
        <w:t>货物验收合格后，中标人应对采购人的相关人员进行免费现场培训。</w:t>
      </w:r>
    </w:p>
    <w:p w14:paraId="271915F3">
      <w:pPr>
        <w:spacing w:line="360" w:lineRule="auto"/>
        <w:ind w:firstLine="480" w:firstLineChars="200"/>
        <w:rPr>
          <w:rFonts w:hint="eastAsia" w:ascii="宋体" w:hAnsi="宋体" w:eastAsia="宋体" w:cs="宋体"/>
          <w:color w:val="auto"/>
          <w:sz w:val="24"/>
          <w:szCs w:val="24"/>
          <w:highlight w:val="none"/>
        </w:rPr>
      </w:pPr>
      <w:bookmarkStart w:id="6" w:name="_Toc21193"/>
      <w:bookmarkStart w:id="7" w:name="_Toc23557"/>
      <w:r>
        <w:rPr>
          <w:rFonts w:hint="eastAsia" w:ascii="宋体" w:hAnsi="宋体" w:eastAsia="宋体" w:cs="宋体"/>
          <w:color w:val="auto"/>
          <w:sz w:val="24"/>
          <w:szCs w:val="24"/>
          <w:highlight w:val="none"/>
        </w:rPr>
        <w:t>2.货物质量</w:t>
      </w:r>
      <w:bookmarkEnd w:id="6"/>
      <w:bookmarkEnd w:id="7"/>
    </w:p>
    <w:p w14:paraId="086BC880">
      <w:pPr>
        <w:spacing w:line="360" w:lineRule="auto"/>
        <w:ind w:firstLine="480" w:firstLineChars="200"/>
        <w:rPr>
          <w:rFonts w:hint="eastAsia" w:ascii="宋体" w:hAnsi="宋体" w:eastAsia="宋体" w:cs="宋体"/>
          <w:color w:val="auto"/>
          <w:sz w:val="24"/>
          <w:szCs w:val="24"/>
          <w:highlight w:val="none"/>
        </w:rPr>
      </w:pPr>
      <w:bookmarkStart w:id="8" w:name="_Toc23093"/>
      <w:bookmarkStart w:id="9" w:name="_Toc7485"/>
      <w:r>
        <w:rPr>
          <w:rFonts w:hint="eastAsia" w:ascii="宋体" w:hAnsi="宋体" w:eastAsia="宋体" w:cs="宋体"/>
          <w:color w:val="auto"/>
          <w:sz w:val="24"/>
          <w:szCs w:val="24"/>
          <w:highlight w:val="none"/>
        </w:rPr>
        <w:t>（1）货物质量：中标人提供的货物必须是全新、原装、合格正品，完全符合国家规定的质量标准和厂方的标准。货物完好，配件齐全。</w:t>
      </w:r>
    </w:p>
    <w:p w14:paraId="0D6BA23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（2）保修及售后服务：依据商品的保修条款及售后服务条款，提供原厂质保，保修期按照国家规定，且不低于所供品牌向用户承诺的质保期限，</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另有约定的从其约定。保修期从货物验收合格后算起。在中标人承诺的响应时间内，不能解决问题，中标人无偿提供同型号备用设备供采购人使用，备用设备如超出原标准，其经济责任由中标人自行承担，如未能及时提供，则采购人有权在市场上选购与原标准相匹配的同类产品以替代中标人产品或找第三方予以维保，选购替代产品的采购费、维保费等相关经济损失由中标人承担。（报价时须考虑此项费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3.</w:t>
      </w:r>
      <w:bookmarkEnd w:id="8"/>
      <w:bookmarkEnd w:id="9"/>
      <w:r>
        <w:rPr>
          <w:rFonts w:hint="eastAsia" w:ascii="宋体" w:hAnsi="宋体" w:eastAsia="宋体" w:cs="宋体"/>
          <w:color w:val="auto"/>
          <w:sz w:val="24"/>
          <w:szCs w:val="24"/>
          <w:highlight w:val="none"/>
        </w:rPr>
        <w:t>中标人和采购人双方共同实施验收工作，结果和验收报告经双方确认后生效。</w:t>
      </w:r>
      <w:r>
        <w:rPr>
          <w:rFonts w:hint="eastAsia" w:ascii="宋体" w:hAnsi="宋体" w:eastAsia="宋体" w:cs="宋体"/>
          <w:color w:val="auto"/>
          <w:sz w:val="24"/>
          <w:szCs w:val="24"/>
          <w:highlight w:val="none"/>
        </w:rPr>
        <w:br w:type="textWrapping"/>
      </w:r>
      <w:r>
        <w:rPr>
          <w:rFonts w:hint="eastAsia" w:ascii="宋体" w:hAnsi="宋体" w:eastAsia="宋体" w:cs="宋体"/>
          <w:b/>
          <w:color w:val="auto"/>
          <w:sz w:val="24"/>
          <w:szCs w:val="24"/>
          <w:highlight w:val="none"/>
        </w:rPr>
        <w:t>五、付款方式</w:t>
      </w:r>
    </w:p>
    <w:p w14:paraId="5E092B7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设备到达采购人现场，安装调试完成最终验收合格，采购人在30日历天内向中标人支付合同总金额的60%。设备正常运行6个月，采购人在 30 日历天内向中标人支付合同总金额的 30%。设备正常运行免费保修期满后，采购人在 30 日历天内向中标人一</w:t>
      </w:r>
      <w:r>
        <w:rPr>
          <w:rFonts w:hint="eastAsia" w:ascii="宋体" w:hAnsi="宋体" w:eastAsia="宋体" w:cs="宋体"/>
          <w:color w:val="auto"/>
          <w:sz w:val="24"/>
          <w:szCs w:val="24"/>
          <w:highlight w:val="none"/>
          <w:lang w:val="en-US" w:eastAsia="zh-CN"/>
        </w:rPr>
        <w:t>次性付清合同总金额10%。</w:t>
      </w:r>
      <w:r>
        <w:rPr>
          <w:rFonts w:hint="eastAsia" w:ascii="宋体" w:hAnsi="宋体" w:eastAsia="宋体" w:cs="宋体"/>
          <w:color w:val="auto"/>
          <w:sz w:val="24"/>
          <w:szCs w:val="24"/>
          <w:highlight w:val="none"/>
          <w:lang w:val="en-US" w:eastAsia="zh-CN"/>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4678BE"/>
    <w:rsid w:val="2F1C6E0B"/>
    <w:rsid w:val="62AC2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模板普通正文"/>
    <w:basedOn w:val="3"/>
    <w:qFormat/>
    <w:uiPriority w:val="0"/>
    <w:pPr>
      <w:spacing w:beforeLines="50" w:after="10"/>
      <w:ind w:left="420" w:leftChars="200" w:firstLine="490" w:firstLineChars="175"/>
      <w:jc w:val="left"/>
    </w:pPr>
    <w:rPr>
      <w:sz w:val="21"/>
      <w:szCs w:val="24"/>
    </w:rPr>
  </w:style>
  <w:style w:type="paragraph" w:styleId="3">
    <w:name w:val="Body Text Indent"/>
    <w:basedOn w:val="1"/>
    <w:qFormat/>
    <w:uiPriority w:val="0"/>
    <w:pPr>
      <w:ind w:firstLine="645"/>
    </w:pPr>
    <w:rPr>
      <w:sz w:val="20"/>
    </w:rPr>
  </w:style>
  <w:style w:type="paragraph" w:styleId="4">
    <w:name w:val="Normal Indent"/>
    <w:basedOn w:val="1"/>
    <w:next w:val="5"/>
    <w:qFormat/>
    <w:uiPriority w:val="0"/>
    <w:pPr>
      <w:ind w:firstLine="420"/>
    </w:pPr>
  </w:style>
  <w:style w:type="paragraph" w:styleId="5">
    <w:name w:val="Body Text First Indent 2"/>
    <w:basedOn w:val="3"/>
    <w:unhideWhenUsed/>
    <w:qFormat/>
    <w:uiPriority w:val="99"/>
    <w:pPr>
      <w:ind w:firstLine="420"/>
    </w:pPr>
    <w:rPr>
      <w:rFonts w:eastAsia="楷体_GB2312"/>
    </w:rPr>
  </w:style>
  <w:style w:type="paragraph" w:styleId="8">
    <w:name w:val="List Paragraph"/>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2025-11-18T10:10:57Z</dcterms:created>
  <dc:creator>Administrator</dc:creator>
  <cp:lastModifiedBy>w y l</cp:lastModifiedBy>
  <dcterms:modified xsi:type="dcterms:W3CDTF">2025-11-18T10:14:43Z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eyJoZGlkIjoiOGZjYWNmYjBhMjQ5N2ZkNTM4Yzg1NjM5OTkxM2EwYWQiLCJ1c2VySWQiOiIxMTQzOTYxMDcxIn0=</vt:lpwstr>
  </property>
  <property fmtid="{D5CDD505-2E9C-101B-9397-08002B2CF9AE}" pid="4" name="ICV">
    <vt:lpwstr>6F375227D14645EF91C22ACEDB1C2ABA_12</vt:lpwstr>
  </property>
</Properties>
</file>