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1605">
      <w:pPr>
        <w:ind w:firstLine="723" w:firstLineChars="20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移动式等离子空气消毒机参数</w:t>
      </w:r>
    </w:p>
    <w:p w14:paraId="78705C99">
      <w:pPr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szCs w:val="21"/>
        </w:rPr>
        <w:t>用途 ：适用于医院Ⅱ类和Ⅲ类环境的空气消毒净化要求；</w:t>
      </w:r>
    </w:p>
    <w:p w14:paraId="09F9C3CF">
      <w:pPr>
        <w:spacing w:line="240" w:lineRule="auto"/>
        <w:rPr>
          <w:rFonts w:hint="default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消毒方法：等离子体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适用体积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≥1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m³</w:t>
      </w:r>
    </w:p>
    <w:p w14:paraId="44BED356">
      <w:pPr>
        <w:adjustRightInd/>
        <w:snapToGrid/>
        <w:spacing w:after="0" w:line="240" w:lineRule="auto"/>
        <w:jc w:val="both"/>
        <w:rPr>
          <w:rFonts w:hint="eastAsia" w:eastAsia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配置</w:t>
      </w:r>
      <w:r>
        <w:rPr>
          <w:rFonts w:hint="eastAsia" w:asci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一种新型</w:t>
      </w:r>
      <w:r>
        <w:rPr>
          <w:rFonts w:hint="default" w:asci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半导体</w:t>
      </w:r>
      <w:r>
        <w:rPr>
          <w:rFonts w:hint="eastAsia" w:asci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空气净化</w:t>
      </w:r>
      <w:r>
        <w:rPr>
          <w:rFonts w:hint="default" w:asci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装置，超低能耗，更环保</w:t>
      </w:r>
      <w:r>
        <w:rPr>
          <w:rFonts w:hint="eastAsia" w:asci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1B5FAB4D">
      <w:pPr>
        <w:adjustRightInd/>
        <w:snapToGrid/>
        <w:spacing w:after="0" w:line="240" w:lineRule="auto"/>
        <w:ind w:left="210" w:hanging="210" w:hangingChars="10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hint="default" w:asci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机壳体选用完全不燃烧的金属材质经现代防潮工艺制成，款式时尚、新颖，表面平整无凹凸状，易清洁，不藏污纳垢减少交叉感染，区别传统移动式空气消毒机塑料材料及外观，方便于日常清洗、保养、维护，节时省力</w:t>
      </w:r>
      <w:r>
        <w:rPr>
          <w:rFonts w:hint="eastAsia" w:asci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轮</w:t>
      </w:r>
      <w:r>
        <w:rPr>
          <w:rFonts w:hint="eastAsia" w:asci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子360℃旋转灵活推动</w:t>
      </w:r>
      <w:r>
        <w:rPr>
          <w:rFonts w:hint="default" w:asci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4D3CDA37">
      <w:pPr>
        <w:shd w:val="clear" w:fill="FFFFFF" w:themeFill="background1"/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等离子体反应器使用寿命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≥</w:t>
      </w:r>
      <w:r>
        <w:rPr>
          <w:rFonts w:hint="default" w:ascii="宋体" w:hAnsi="宋体"/>
          <w:color w:val="000000" w:themeColor="text1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30000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小时。</w:t>
      </w:r>
    </w:p>
    <w:p w14:paraId="5ACBFF23">
      <w:pPr>
        <w:shd w:val="clear"/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等离子体密度值</w:t>
      </w:r>
      <w:r>
        <w:rPr>
          <w:rFonts w:hint="default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≥</w:t>
      </w:r>
      <w:r>
        <w:rPr>
          <w:rFonts w:hint="default" w:ascii="宋体"/>
          <w:color w:val="000000" w:themeColor="text1"/>
          <w:sz w:val="21"/>
          <w:szCs w:val="21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/>
          <w:color w:val="000000" w:themeColor="text1"/>
          <w:sz w:val="21"/>
          <w:szCs w:val="21"/>
          <w:highlight w:val="none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97</w:t>
      </w:r>
      <w:r>
        <w:rPr>
          <w:rFonts w:hint="default" w:ascii="宋体"/>
          <w:color w:val="000000" w:themeColor="text1"/>
          <w:sz w:val="21"/>
          <w:szCs w:val="21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>*10</w:t>
      </w:r>
      <w:r>
        <w:rPr>
          <w:rFonts w:hint="default" w:ascii="宋体"/>
          <w:b/>
          <w:bCs/>
          <w:color w:val="000000" w:themeColor="text1"/>
          <w:sz w:val="21"/>
          <w:szCs w:val="21"/>
          <w:highlight w:val="none"/>
          <w:shd w:val="clear" w:fill="FFFFFF" w:themeFill="background1"/>
          <w:vertAlign w:val="superscript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宋体"/>
          <w:color w:val="000000" w:themeColor="text1"/>
          <w:sz w:val="21"/>
          <w:szCs w:val="21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/>
          <w:color w:val="000000" w:themeColor="text1"/>
          <w:sz w:val="21"/>
          <w:szCs w:val="21"/>
          <w:highlight w:val="none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宋体"/>
          <w:color w:val="000000" w:themeColor="text1"/>
          <w:sz w:val="21"/>
          <w:szCs w:val="21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/>
          <w:color w:val="000000" w:themeColor="text1"/>
          <w:sz w:val="21"/>
          <w:szCs w:val="21"/>
          <w:highlight w:val="none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宋体"/>
          <w:color w:val="000000" w:themeColor="text1"/>
          <w:sz w:val="21"/>
          <w:szCs w:val="21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>*10</w:t>
      </w:r>
      <w:r>
        <w:rPr>
          <w:rFonts w:hint="default" w:ascii="宋体"/>
          <w:b/>
          <w:bCs/>
          <w:color w:val="000000" w:themeColor="text1"/>
          <w:sz w:val="21"/>
          <w:szCs w:val="21"/>
          <w:highlight w:val="none"/>
          <w:shd w:val="clear" w:fill="FFFFFF" w:themeFill="background1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/>
          <w:b/>
          <w:bCs/>
          <w:color w:val="000000" w:themeColor="text1"/>
          <w:sz w:val="21"/>
          <w:szCs w:val="21"/>
          <w:highlight w:val="none"/>
          <w:shd w:val="clear" w:fill="FFFFFF" w:themeFill="background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宋体"/>
          <w:color w:val="000000" w:themeColor="text1"/>
          <w:sz w:val="21"/>
          <w:szCs w:val="21"/>
          <w:highlight w:val="none"/>
          <w:shd w:val="clear" w:fill="FFFFFF" w:themeFill="background1"/>
          <w:vertAlign w:val="superscri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/>
          <w:color w:val="000000" w:themeColor="text1"/>
          <w:sz w:val="21"/>
          <w:szCs w:val="21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宋体"/>
          <w:b/>
          <w:bCs/>
          <w:color w:val="000000" w:themeColor="text1"/>
          <w:sz w:val="21"/>
          <w:szCs w:val="21"/>
          <w:highlight w:val="none"/>
          <w:shd w:val="clear" w:fill="FFFFFF" w:themeFill="background1"/>
          <w:vertAlign w:val="superscript"/>
          <w14:textFill>
            <w14:solidFill>
              <w14:schemeClr w14:val="tx1"/>
            </w14:solidFill>
          </w14:textFill>
        </w:rPr>
        <w:t>-3</w:t>
      </w:r>
    </w:p>
    <w:p w14:paraId="05078A36">
      <w:pPr>
        <w:shd w:val="clear"/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7.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可在有人的情况下消毒，消毒时无味、无辐射、不腐蚀设备。</w:t>
      </w:r>
    </w:p>
    <w:p w14:paraId="1FC10461">
      <w:pPr>
        <w:shd w:val="clear"/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8.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循环风量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≥</w:t>
      </w:r>
      <w:r>
        <w:rPr>
          <w:rFonts w:hint="default" w:ascii="宋体" w:hAnsi="宋体"/>
          <w:color w:val="000000" w:themeColor="text1"/>
          <w:sz w:val="21"/>
          <w:szCs w:val="21"/>
          <w:highlight w:val="none"/>
          <w:shd w:val="clear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宋体" w:hAnsi="宋体"/>
          <w:color w:val="000000" w:themeColor="text1"/>
          <w:sz w:val="21"/>
          <w:szCs w:val="21"/>
          <w:highlight w:val="none"/>
          <w:shd w:val="clear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shd w:val="clear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1"/>
          <w:szCs w:val="21"/>
          <w:highlight w:val="none"/>
          <w:shd w:val="clear"/>
          <w14:textFill>
            <w14:solidFill>
              <w14:schemeClr w14:val="tx1"/>
            </w14:solidFill>
          </w14:textFill>
        </w:rPr>
        <w:t>m</w:t>
      </w:r>
      <w:r>
        <w:rPr>
          <w:rFonts w:hint="eastAsia"/>
          <w:color w:val="000000" w:themeColor="text1"/>
          <w:sz w:val="21"/>
          <w:szCs w:val="21"/>
          <w:highlight w:val="none"/>
          <w:shd w:val="clear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/h</w:t>
      </w:r>
    </w:p>
    <w:p w14:paraId="204CF222">
      <w:pPr>
        <w:shd w:val="clear"/>
        <w:spacing w:line="240" w:lineRule="auto"/>
        <w:rPr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9.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模拟实验白色葡萄球菌杀灭率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99.9</w:t>
      </w:r>
      <w:r>
        <w:rPr>
          <w:rFonts w:hint="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自然菌消亡率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%</w:t>
      </w:r>
    </w:p>
    <w:p w14:paraId="65FB9F66">
      <w:pPr>
        <w:shd w:val="clear"/>
        <w:spacing w:line="240" w:lineRule="auto"/>
        <w:rPr>
          <w:rFonts w:hint="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消毒时空气的臭氧量≤0.0</w:t>
      </w:r>
      <w:r>
        <w:rPr>
          <w:rFonts w:hint="default"/>
          <w:color w:val="000000" w:themeColor="text1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mg/m</w:t>
      </w:r>
      <w:r>
        <w:rPr>
          <w:rFonts w:hint="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3</w:t>
      </w:r>
    </w:p>
    <w:p w14:paraId="0338F982">
      <w:pPr>
        <w:shd w:val="clear"/>
        <w:spacing w:line="240" w:lineRule="auto"/>
        <w:ind w:left="210" w:hanging="210" w:hangingChars="100"/>
        <w:rPr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宋体" w:hAnsi="宋体"/>
          <w:color w:val="000000" w:themeColor="text1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消毒后房间内达到100000级标准，对悬浮粒子≧0.5um达到手术室洁净要求</w:t>
      </w:r>
    </w:p>
    <w:p w14:paraId="3047DAE3">
      <w:pPr>
        <w:shd w:val="clear"/>
        <w:spacing w:line="240" w:lineRule="auto"/>
        <w:ind w:left="210" w:hanging="210" w:hangingChars="100"/>
        <w:rPr>
          <w:rFonts w:hint="default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宋体" w:hAnsi="宋体"/>
          <w:color w:val="000000" w:themeColor="text1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default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机器工作消毒一小时对甲醛净化率98.6%；埃尘粒子1小时净化率99%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095C98B">
      <w:pPr>
        <w:rPr>
          <w:rFonts w:hint="eastAsia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</w:rPr>
        <w:t>. 洁净空气量CADR（颗粒物）≥</w:t>
      </w:r>
      <w:r>
        <w:rPr>
          <w:rFonts w:hint="eastAsia"/>
          <w:lang w:val="en-US" w:eastAsia="zh-CN"/>
        </w:rPr>
        <w:t>306</w:t>
      </w:r>
      <w:r>
        <w:rPr>
          <w:rFonts w:hint="eastAsia"/>
        </w:rPr>
        <w:t>m³/h。</w:t>
      </w:r>
    </w:p>
    <w:p w14:paraId="78A99497">
      <w:pPr>
        <w:rPr>
          <w:rFonts w:hint="eastAsia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default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</w:rPr>
        <w:t>气雾室甲型流感病毒H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N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杀灭率≥99.9%</w:t>
      </w:r>
      <w:r>
        <w:rPr>
          <w:rFonts w:hint="eastAsia"/>
          <w:lang w:eastAsia="zh-CN"/>
        </w:rPr>
        <w:t>、</w:t>
      </w:r>
      <w:r>
        <w:rPr>
          <w:rFonts w:hint="eastAsia"/>
        </w:rPr>
        <w:t>气雾室肠道病毒EV71杀灭率≥99%。</w:t>
      </w:r>
    </w:p>
    <w:p w14:paraId="67E70569">
      <w:pPr>
        <w:rPr>
          <w:rFonts w:hint="eastAsia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/>
        </w:rPr>
        <w:t>设备持续工作30min，PM2.5去除率≥99.92%；设备持续工作1h，PM2.5去除率≥99.99%。</w:t>
      </w:r>
    </w:p>
    <w:p w14:paraId="35CCF5C7">
      <w:pPr>
        <w:shd w:val="clear"/>
        <w:spacing w:line="240" w:lineRule="auto"/>
        <w:ind w:left="210" w:hanging="210" w:hangingChars="100"/>
        <w:rPr>
          <w:rFonts w:hint="eastAsia" w:ascii="宋体" w:hAnsi="宋体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</w:t>
      </w:r>
      <w:r>
        <w:rPr>
          <w:rFonts w:hint="eastAsia"/>
        </w:rPr>
        <w:t>设备持续工作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h，甲醛的净化效率≥9</w:t>
      </w:r>
      <w:r>
        <w:rPr>
          <w:rFonts w:hint="eastAsia"/>
          <w:lang w:val="en-US" w:eastAsia="zh-CN"/>
        </w:rPr>
        <w:t>8.6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</w:p>
    <w:p w14:paraId="191F8DA2">
      <w:pPr>
        <w:shd w:val="clear"/>
        <w:spacing w:line="240" w:lineRule="auto"/>
        <w:rPr>
          <w:rFonts w:hint="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等离子</w:t>
      </w:r>
      <w:r>
        <w:rPr>
          <w:rFonts w:hint="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最大</w:t>
      </w: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电压</w:t>
      </w:r>
      <w:r>
        <w:rPr>
          <w:rFonts w:hint="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8.3</w:t>
      </w: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KV</w:t>
      </w:r>
      <w:r>
        <w:rPr>
          <w:rFonts w:hint="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5D0F4ED">
      <w:pPr>
        <w:shd w:val="clear"/>
        <w:spacing w:line="240" w:lineRule="auto"/>
        <w:rPr>
          <w:rFonts w:hint="default" w:eastAsiaTheme="minorEastAsia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负离子浓度：≥6×10</w:t>
      </w:r>
      <w:r>
        <w:rPr>
          <w:rFonts w:hint="eastAsia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个/cm</w:t>
      </w:r>
      <w:r>
        <w:rPr>
          <w:rFonts w:hint="eastAsia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22455C">
      <w:pPr>
        <w:shd w:val="clear"/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.等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离子体反应器和风机出现故障时能自动报警提示并有自动关机功能</w:t>
      </w:r>
    </w:p>
    <w:p w14:paraId="601D3A3A">
      <w:pPr>
        <w:shd w:val="clear"/>
        <w:spacing w:line="240" w:lineRule="auto"/>
        <w:ind w:left="210" w:hanging="210" w:hangingChars="10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每天有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个工作时段，自动开、关机，并可随意设置，循环运行且掉电记忆。工作时间累计记忆功能。</w:t>
      </w:r>
    </w:p>
    <w:p w14:paraId="0F2FCBE5">
      <w:pPr>
        <w:shd w:val="clear" w:fill="FFFFFF" w:themeFill="background1"/>
        <w:spacing w:line="240" w:lineRule="auto"/>
        <w:rPr>
          <w:rFonts w:hint="eastAsia" w:eastAsia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超静音风机</w:t>
      </w:r>
      <w:r>
        <w:rPr>
          <w:rFonts w:hint="eastAsia" w:ascii="宋体" w:hAns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72B089D">
      <w:pPr>
        <w:spacing w:line="240" w:lineRule="auto"/>
        <w:rPr>
          <w:rFonts w:hint="eastAsia" w:ascii="宋体" w:hAnsi="宋体" w:eastAsia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宋体" w:hAnsi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超远距离红外线遥控操作</w:t>
      </w:r>
      <w:r>
        <w:rPr>
          <w:rFonts w:hint="eastAsia" w:ascii="宋体" w:hAns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B41A328">
      <w:pPr>
        <w:shd w:val="clear"/>
        <w:spacing w:line="240" w:lineRule="auto"/>
        <w:ind w:left="420" w:hanging="420" w:hangingChars="20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23.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空气菌落总数：符合院感空气采样办法，依照（医院消毒卫生标准）GB15982-2012要求，空气菌落总数</w:t>
      </w:r>
      <w:r>
        <w:rPr>
          <w:rFonts w:hint="eastAsia" w:ascii="宋体" w:hAnsi="宋体"/>
          <w:sz w:val="21"/>
          <w:szCs w:val="21"/>
        </w:rPr>
        <w:t>≤</w:t>
      </w:r>
      <w:r>
        <w:rPr>
          <w:rFonts w:hint="eastAsia" w:ascii="宋体" w:hAnsi="宋体"/>
          <w:sz w:val="21"/>
          <w:szCs w:val="21"/>
          <w:lang w:val="en-US" w:eastAsia="zh-CN"/>
        </w:rPr>
        <w:t>4cfu/皿（平皿暴露时间15min）。</w:t>
      </w:r>
    </w:p>
    <w:p w14:paraId="3614BC1B">
      <w:pPr>
        <w:shd w:val="clear"/>
        <w:spacing w:line="240" w:lineRule="auto"/>
        <w:ind w:left="420" w:hanging="420" w:hangingChars="20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lang w:val="en-US" w:eastAsia="zh-CN"/>
        </w:rPr>
        <w:t>、</w:t>
      </w:r>
      <w:r>
        <w:rPr>
          <w:rFonts w:hint="eastAsia"/>
        </w:rPr>
        <w:t>设备持续工作1h，可使100m³密闭房间达到十万级洁净度。</w:t>
      </w:r>
    </w:p>
    <w:p w14:paraId="2F1A4074">
      <w:pPr>
        <w:spacing w:line="240" w:lineRule="auto"/>
        <w:rPr>
          <w:rFonts w:hint="default" w:ascii="宋体" w:hAnsi="宋体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25、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细菌总量≤200cfu/m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vertAlign w:val="superscript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7F377765">
      <w:pPr>
        <w:spacing w:line="240" w:lineRule="auto"/>
        <w:rPr>
          <w:rFonts w:hint="eastAsia" w:eastAsia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.噪音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≤55db(A)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33547FC">
      <w:pPr>
        <w:ind w:firstLine="720" w:firstLineChars="200"/>
        <w:rPr>
          <w:rFonts w:hint="eastAsia"/>
          <w:sz w:val="36"/>
          <w:szCs w:val="36"/>
          <w:lang w:eastAsia="zh-CN"/>
        </w:rPr>
      </w:pPr>
    </w:p>
    <w:p w14:paraId="0C7555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C0BC6"/>
    <w:rsid w:val="362D7FF8"/>
    <w:rsid w:val="403C0BC6"/>
    <w:rsid w:val="451029F3"/>
    <w:rsid w:val="76B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2026-01-22T01:17:00Z</dcterms:created>
  <dc:creator>Attention~</dc:creator>
  <cp:lastModifiedBy>Attention~</cp:lastModifiedBy>
  <cp:lastPrinted>2026-01-22T02:05:56Z</cp:lastPrinted>
  <dcterms:modified xsi:type="dcterms:W3CDTF">2026-01-22T03:18:12Z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F33527B7712A49258310724E6467CF66_11</vt:lpwstr>
  </property>
  <property fmtid="{D5CDD505-2E9C-101B-9397-08002B2CF9AE}" pid="4" name="KSOTemplateDocerSaveRecord">
    <vt:lpwstr>eyJoZGlkIjoiMzI1NTQ4MjU1ZjVlYWEzNWI4NGVjYzViMGZkMDg0NDUiLCJ1c2VySWQiOiI5NTQxNjM2MjEifQ==</vt:lpwstr>
  </property>
</Properties>
</file>